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14bis</w:t>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cs="Arial"/>
          <w:b/>
          <w:bCs/>
          <w:highlight w:val="none"/>
          <w:lang w:val="en-US" w:eastAsia="zh-CN"/>
        </w:rPr>
        <w:t>5</w:t>
      </w:r>
      <w:r>
        <w:rPr>
          <w:rFonts w:hint="eastAsia" w:ascii="Arial" w:hAnsi="Arial" w:cs="Arial"/>
          <w:b/>
          <w:bCs/>
          <w:highlight w:val="none"/>
        </w:rPr>
        <w:t>0</w:t>
      </w:r>
      <w:r>
        <w:rPr>
          <w:rFonts w:hint="eastAsia" w:ascii="Arial" w:hAnsi="Arial" w:cs="Arial"/>
          <w:b/>
          <w:bCs/>
          <w:highlight w:val="none"/>
          <w:lang w:val="en-US" w:eastAsia="zh-CN"/>
        </w:rPr>
        <w:t>3375</w:t>
      </w:r>
    </w:p>
    <w:p w14:paraId="35687BCC">
      <w:pPr>
        <w:tabs>
          <w:tab w:val="left" w:pos="3106"/>
          <w:tab w:val="center" w:pos="4536"/>
          <w:tab w:val="right" w:pos="9072"/>
        </w:tabs>
        <w:jc w:val="both"/>
        <w:rPr>
          <w:rFonts w:ascii="Arial" w:hAnsi="Arial" w:cs="Arial"/>
          <w:b/>
          <w:bCs/>
        </w:rPr>
      </w:pPr>
      <w:r>
        <w:rPr>
          <w:rFonts w:hint="eastAsia" w:ascii="Arial" w:hAnsi="Arial" w:cs="Arial"/>
          <w:b/>
          <w:bCs/>
          <w:lang w:val="en-US" w:eastAsia="zh-CN"/>
        </w:rPr>
        <w:t>Wuhan, China,</w:t>
      </w:r>
      <w:r>
        <w:rPr>
          <w:rFonts w:ascii="Arial" w:hAnsi="Arial" w:cs="Arial"/>
          <w:b/>
          <w:bCs/>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03D9AB6B">
      <w:pPr>
        <w:tabs>
          <w:tab w:val="left" w:pos="1985"/>
        </w:tabs>
        <w:rPr>
          <w:b/>
          <w:sz w:val="22"/>
        </w:rPr>
      </w:pPr>
    </w:p>
    <w:p w14:paraId="5091D0EE">
      <w:pPr>
        <w:tabs>
          <w:tab w:val="left" w:pos="1765"/>
          <w:tab w:val="center" w:pos="4557"/>
        </w:tabs>
        <w:rPr>
          <w:rFonts w:hint="eastAsia" w:eastAsiaTheme="minorEastAsia"/>
          <w:b/>
          <w:sz w:val="22"/>
          <w:lang w:eastAsia="zh-CN"/>
        </w:rPr>
      </w:pPr>
      <w:r>
        <w:rPr>
          <w:b/>
          <w:sz w:val="22"/>
        </w:rPr>
        <w:t>Agenda Item:</w:t>
      </w:r>
      <w:r>
        <w:rPr>
          <w:b/>
          <w:sz w:val="22"/>
        </w:rPr>
        <w:tab/>
      </w:r>
      <w:r>
        <w:rPr>
          <w:rFonts w:hint="eastAsia"/>
          <w:sz w:val="22"/>
          <w:highlight w:val="none"/>
          <w:lang w:val="en-US" w:eastAsia="zh-CN"/>
        </w:rPr>
        <w:t>7</w:t>
      </w:r>
      <w:r>
        <w:rPr>
          <w:sz w:val="22"/>
          <w:highlight w:val="none"/>
        </w:rPr>
        <w:t>.1</w:t>
      </w:r>
      <w:r>
        <w:rPr>
          <w:rFonts w:hint="eastAsia"/>
          <w:sz w:val="22"/>
          <w:highlight w:val="none"/>
          <w:lang w:val="en-US" w:eastAsia="zh-CN"/>
        </w:rPr>
        <w:t>2</w:t>
      </w:r>
      <w:r>
        <w:rPr>
          <w:sz w:val="22"/>
          <w:highlight w:val="none"/>
        </w:rPr>
        <w:t>.</w:t>
      </w:r>
      <w:r>
        <w:rPr>
          <w:rFonts w:hint="eastAsia"/>
          <w:sz w:val="22"/>
          <w:highlight w:val="none"/>
          <w:lang w:val="en-US" w:eastAsia="zh-CN"/>
        </w:rPr>
        <w:t>6</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demodulation and CSI requirements for </w:t>
      </w:r>
      <w:r>
        <w:rPr>
          <w:rFonts w:hint="eastAsia"/>
          <w:sz w:val="22"/>
          <w:lang w:val="en-US" w:eastAsia="zh-CN"/>
        </w:rPr>
        <w:t xml:space="preserve">Rel-19 </w:t>
      </w:r>
      <w:r>
        <w:rPr>
          <w:sz w:val="22"/>
        </w:rPr>
        <w:t>AT</w:t>
      </w:r>
      <w:bookmarkEnd w:id="2"/>
      <w:r>
        <w:rPr>
          <w:sz w:val="22"/>
        </w:rPr>
        <w:t>G</w:t>
      </w:r>
      <w:bookmarkStart w:id="58" w:name="_GoBack"/>
      <w:bookmarkEnd w:id="58"/>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BE11B04">
      <w:pPr>
        <w:pStyle w:val="13"/>
        <w:tabs>
          <w:tab w:val="left" w:pos="226"/>
          <w:tab w:val="left" w:pos="284"/>
          <w:tab w:val="left" w:pos="5103"/>
        </w:tabs>
        <w:snapToGrid w:val="0"/>
        <w:spacing w:before="156" w:beforeLines="50"/>
        <w:rPr>
          <w:rFonts w:eastAsia="宋体"/>
          <w:szCs w:val="20"/>
          <w:lang w:eastAsia="zh-CN"/>
        </w:rPr>
      </w:pPr>
      <w:r>
        <w:rPr>
          <w:rFonts w:hint="eastAsia" w:eastAsia="宋体"/>
          <w:szCs w:val="20"/>
          <w:lang w:eastAsia="zh-CN"/>
        </w:rPr>
        <w:t>The following objectives has been included in</w:t>
      </w:r>
      <w:r>
        <w:rPr>
          <w:rFonts w:hint="eastAsia" w:eastAsia="宋体"/>
          <w:szCs w:val="20"/>
          <w:lang w:val="en-US" w:eastAsia="zh-CN"/>
        </w:rPr>
        <w:t xml:space="preserve"> the latest</w:t>
      </w:r>
      <w:r>
        <w:rPr>
          <w:rFonts w:hint="eastAsia" w:eastAsia="宋体"/>
          <w:szCs w:val="20"/>
          <w:lang w:eastAsia="zh-CN"/>
        </w:rPr>
        <w:t xml:space="preserve"> WI</w:t>
      </w:r>
      <w:r>
        <w:rPr>
          <w:rFonts w:eastAsia="宋体"/>
          <w:szCs w:val="20"/>
          <w:lang w:eastAsia="zh-CN"/>
        </w:rPr>
        <w:t>D</w:t>
      </w:r>
      <w:r>
        <w:rPr>
          <w:rFonts w:hint="eastAsia" w:eastAsia="宋体"/>
          <w:szCs w:val="20"/>
          <w:lang w:eastAsia="zh-CN"/>
        </w:rPr>
        <w:t xml:space="preserve"> on Enhancements for Air-to-ground network for NR</w:t>
      </w:r>
      <w:r>
        <w:rPr>
          <w:rFonts w:eastAsia="宋体"/>
          <w:szCs w:val="20"/>
          <w:lang w:eastAsia="zh-CN"/>
        </w:rPr>
        <w:t xml:space="preserve"> </w:t>
      </w:r>
      <w:r>
        <w:rPr>
          <w:rFonts w:hint="eastAsia" w:eastAsia="宋体"/>
          <w:szCs w:val="20"/>
          <w:lang w:eastAsia="zh-CN"/>
        </w:rPr>
        <w:t>[1]: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762E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14:paraId="267DB609">
            <w:pPr>
              <w:rPr>
                <w:rFonts w:hint="eastAsia"/>
                <w:sz w:val="20"/>
                <w:szCs w:val="20"/>
                <w:lang w:eastAsia="zh-CN"/>
              </w:rPr>
            </w:pPr>
            <w:r>
              <w:rPr>
                <w:rFonts w:hint="eastAsia"/>
                <w:sz w:val="20"/>
                <w:szCs w:val="20"/>
                <w:lang w:eastAsia="zh-CN"/>
              </w:rPr>
              <w:t>T</w:t>
            </w:r>
            <w:r>
              <w:rPr>
                <w:sz w:val="20"/>
                <w:szCs w:val="20"/>
                <w:lang w:eastAsia="zh-CN"/>
              </w:rPr>
              <w:t>he performance part of the work item includes:</w:t>
            </w:r>
          </w:p>
          <w:p w14:paraId="0A1C378C">
            <w:pPr>
              <w:widowControl w:val="0"/>
              <w:numPr>
                <w:ilvl w:val="1"/>
                <w:numId w:val="4"/>
              </w:numPr>
              <w:jc w:val="both"/>
              <w:rPr>
                <w:kern w:val="2"/>
                <w:sz w:val="20"/>
                <w:szCs w:val="20"/>
                <w:lang w:eastAsia="zh-CN"/>
              </w:rPr>
            </w:pPr>
            <w:r>
              <w:rPr>
                <w:kern w:val="2"/>
                <w:sz w:val="20"/>
                <w:szCs w:val="20"/>
                <w:lang w:eastAsia="zh-CN"/>
              </w:rPr>
              <w:t>Specify corresponding RRM performance and demodulation requirements for intra-band co-located and inter-band co-located DL CA.</w:t>
            </w:r>
          </w:p>
          <w:p w14:paraId="4A7629CE">
            <w:pPr>
              <w:widowControl w:val="0"/>
              <w:numPr>
                <w:ilvl w:val="1"/>
                <w:numId w:val="4"/>
              </w:numPr>
              <w:jc w:val="both"/>
              <w:rPr>
                <w:kern w:val="2"/>
                <w:sz w:val="20"/>
                <w:szCs w:val="20"/>
                <w:lang w:eastAsia="zh-CN"/>
              </w:rPr>
            </w:pPr>
            <w:r>
              <w:rPr>
                <w:kern w:val="2"/>
                <w:sz w:val="20"/>
                <w:szCs w:val="20"/>
                <w:lang w:eastAsia="zh-CN"/>
              </w:rPr>
              <w:t xml:space="preserve">Specify corresponding demodulation requirements for support of UL MIMO with 2TX for single CC for </w:t>
            </w:r>
            <w:bookmarkStart w:id="5" w:name="OLE_LINK16"/>
            <w:r>
              <w:rPr>
                <w:kern w:val="2"/>
                <w:sz w:val="20"/>
                <w:szCs w:val="20"/>
                <w:lang w:eastAsia="zh-CN"/>
              </w:rPr>
              <w:t>UE with dual-</w:t>
            </w:r>
            <w:bookmarkStart w:id="6" w:name="OLE_LINK35"/>
            <w:r>
              <w:rPr>
                <w:kern w:val="2"/>
                <w:sz w:val="20"/>
                <w:szCs w:val="20"/>
                <w:lang w:eastAsia="zh-CN"/>
              </w:rPr>
              <w:t>polarization antenna</w:t>
            </w:r>
            <w:bookmarkEnd w:id="5"/>
            <w:bookmarkEnd w:id="6"/>
            <w:r>
              <w:rPr>
                <w:kern w:val="2"/>
                <w:sz w:val="20"/>
                <w:szCs w:val="20"/>
                <w:lang w:eastAsia="zh-CN"/>
              </w:rPr>
              <w:t>.</w:t>
            </w:r>
          </w:p>
          <w:p w14:paraId="337216A7">
            <w:pPr>
              <w:widowControl w:val="0"/>
              <w:numPr>
                <w:ilvl w:val="1"/>
                <w:numId w:val="4"/>
              </w:numPr>
              <w:jc w:val="both"/>
              <w:rPr>
                <w:kern w:val="2"/>
                <w:sz w:val="20"/>
                <w:szCs w:val="20"/>
                <w:lang w:eastAsia="zh-CN"/>
              </w:rPr>
            </w:pPr>
            <w:r>
              <w:rPr>
                <w:kern w:val="2"/>
                <w:sz w:val="20"/>
                <w:szCs w:val="20"/>
                <w:lang w:eastAsia="zh-CN"/>
              </w:rPr>
              <w:t>Specify demodulation requirements for support of DL MIMO for UE</w:t>
            </w:r>
            <w:r>
              <w:rPr>
                <w:rFonts w:hint="eastAsia"/>
                <w:kern w:val="2"/>
                <w:sz w:val="20"/>
                <w:szCs w:val="20"/>
                <w:lang w:eastAsia="zh-CN"/>
              </w:rPr>
              <w:t xml:space="preserve"> with limited test cases</w:t>
            </w:r>
            <w:r>
              <w:rPr>
                <w:kern w:val="2"/>
                <w:sz w:val="20"/>
                <w:szCs w:val="20"/>
                <w:lang w:eastAsia="zh-CN"/>
              </w:rPr>
              <w:t>.</w:t>
            </w:r>
          </w:p>
          <w:p w14:paraId="7E192991">
            <w:pPr>
              <w:widowControl w:val="0"/>
              <w:numPr>
                <w:ilvl w:val="1"/>
                <w:numId w:val="4"/>
              </w:numPr>
              <w:jc w:val="both"/>
              <w:rPr>
                <w:kern w:val="2"/>
              </w:rPr>
            </w:pPr>
            <w:bookmarkStart w:id="7" w:name="_Hlk183524706"/>
            <w:r>
              <w:rPr>
                <w:kern w:val="2"/>
                <w:sz w:val="20"/>
                <w:szCs w:val="20"/>
                <w:lang w:eastAsia="zh-CN"/>
              </w:rPr>
              <w:t>Specify conformance testing and conformance requirements for BS.</w:t>
            </w:r>
            <w:bookmarkEnd w:id="7"/>
          </w:p>
        </w:tc>
      </w:tr>
    </w:tbl>
    <w:p w14:paraId="2B59DF5E">
      <w:pPr>
        <w:tabs>
          <w:tab w:val="left" w:pos="1134"/>
        </w:tabs>
        <w:spacing w:before="156" w:beforeLines="50" w:after="120" w:line="240" w:lineRule="exact"/>
        <w:jc w:val="both"/>
        <w:rPr>
          <w:sz w:val="20"/>
          <w:szCs w:val="20"/>
        </w:rPr>
      </w:pPr>
      <w:r>
        <w:rPr>
          <w:sz w:val="20"/>
          <w:szCs w:val="20"/>
        </w:rPr>
        <w:t>A</w:t>
      </w:r>
      <w:r>
        <w:rPr>
          <w:rFonts w:hint="eastAsia"/>
          <w:sz w:val="20"/>
          <w:szCs w:val="20"/>
        </w:rPr>
        <w:t>ccording</w:t>
      </w:r>
      <w:r>
        <w:rPr>
          <w:sz w:val="20"/>
          <w:szCs w:val="20"/>
        </w:rPr>
        <w:t xml:space="preserve"> to the work plan [2], RAN4 will start to discuss the demodulation/CSI performance requirements for ATG from this meeting</w:t>
      </w:r>
      <w:r>
        <w:rPr>
          <w:rFonts w:hint="eastAsia"/>
          <w:sz w:val="20"/>
          <w:szCs w:val="20"/>
          <w:lang w:val="en-US" w:eastAsia="zh-CN"/>
        </w:rPr>
        <w:t xml:space="preserve"> considering the DL CA, DL MIMO and UL MIMO feature</w:t>
      </w:r>
      <w:r>
        <w:rPr>
          <w:sz w:val="20"/>
          <w:szCs w:val="20"/>
        </w:rPr>
        <w:t>. In this contribution, we give our views on test scope</w:t>
      </w:r>
      <w:r>
        <w:rPr>
          <w:rFonts w:hint="eastAsia"/>
          <w:sz w:val="20"/>
          <w:szCs w:val="20"/>
          <w:lang w:val="en-US" w:eastAsia="zh-CN"/>
        </w:rPr>
        <w:t xml:space="preserve"> and simulation assumption</w:t>
      </w:r>
      <w:r>
        <w:rPr>
          <w:sz w:val="20"/>
          <w:szCs w:val="20"/>
        </w:rPr>
        <w:t xml:space="preserve">. </w:t>
      </w:r>
    </w:p>
    <w:p w14:paraId="4DA3C40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8" w:name="OLE_LINK1"/>
      <w:bookmarkStart w:id="9" w:name="OLE_LINK2"/>
      <w:r>
        <w:rPr>
          <w:rFonts w:hint="eastAsia" w:ascii="Times New Roman" w:hAnsi="Times New Roman"/>
          <w:b w:val="0"/>
          <w:bCs w:val="0"/>
          <w:kern w:val="0"/>
          <w:sz w:val="36"/>
          <w:szCs w:val="36"/>
          <w:lang w:val="en-US" w:eastAsia="zh-CN"/>
        </w:rPr>
        <w:t>ATG UE DL CA demodulation requirement</w:t>
      </w:r>
    </w:p>
    <w:p w14:paraId="05D18FA2">
      <w:pPr>
        <w:pStyle w:val="3"/>
        <w:numPr>
          <w:ilvl w:val="1"/>
          <w:numId w:val="3"/>
        </w:numPr>
        <w:pBdr>
          <w:top w:val="single" w:color="auto" w:sz="12" w:space="3"/>
        </w:pBdr>
        <w:tabs>
          <w:tab w:val="clear" w:pos="576"/>
        </w:tabs>
        <w:spacing w:before="120" w:after="60" w:line="240" w:lineRule="auto"/>
        <w:ind w:left="567" w:leftChars="0" w:hanging="567" w:firstLineChars="0"/>
        <w:outlineLvl w:val="1"/>
        <w:rPr>
          <w:rFonts w:hint="default" w:ascii="Times New Roman" w:hAnsi="Times New Roman" w:cs="Times New Roman"/>
          <w:b w:val="0"/>
          <w:bCs w:val="0"/>
          <w:kern w:val="0"/>
          <w:sz w:val="28"/>
          <w:szCs w:val="28"/>
          <w:lang w:val="en-US" w:eastAsia="zh-CN"/>
        </w:rPr>
      </w:pPr>
      <w:r>
        <w:rPr>
          <w:rFonts w:hint="eastAsia" w:ascii="Times New Roman" w:hAnsi="Times New Roman" w:cs="Times New Roman"/>
          <w:b w:val="0"/>
          <w:bCs w:val="0"/>
          <w:kern w:val="0"/>
          <w:sz w:val="28"/>
          <w:szCs w:val="28"/>
          <w:lang w:val="en-US" w:eastAsia="zh-CN"/>
        </w:rPr>
        <w:t>Test rules</w:t>
      </w:r>
    </w:p>
    <w:p w14:paraId="270C6012">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Rel-16, UE CA demodulation requirement has been introduced with following test setup and test applicability rules:</w:t>
      </w:r>
    </w:p>
    <w:p w14:paraId="72612AD1">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UEs supporting different CA configurations and bandwidth combination sets, the tested CA configuration are selected as follows:</w:t>
      </w:r>
    </w:p>
    <w:tbl>
      <w:tblPr>
        <w:tblStyle w:val="20"/>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2007"/>
        <w:gridCol w:w="2007"/>
        <w:gridCol w:w="2007"/>
        <w:gridCol w:w="2008"/>
      </w:tblGrid>
      <w:tr w14:paraId="5F63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87" w:type="dxa"/>
            <w:shd w:val="clear" w:color="auto" w:fill="auto"/>
            <w:vAlign w:val="center"/>
          </w:tcPr>
          <w:p w14:paraId="343BA0E7">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en-US" w:bidi="ar-SA"/>
              </w:rPr>
            </w:pPr>
            <w:r>
              <w:rPr>
                <w:rFonts w:hint="default" w:ascii="Times New Roman" w:hAnsi="Times New Roman" w:eastAsia="等线" w:cs="Times New Roman"/>
                <w:b/>
                <w:sz w:val="18"/>
                <w:lang w:val="en-GB" w:eastAsia="en-US" w:bidi="ar-SA"/>
              </w:rPr>
              <w:t>CA capability</w:t>
            </w:r>
          </w:p>
        </w:tc>
        <w:tc>
          <w:tcPr>
            <w:tcW w:w="2007" w:type="dxa"/>
            <w:vAlign w:val="center"/>
          </w:tcPr>
          <w:p w14:paraId="2ED1CFD6">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1</w:t>
            </w:r>
          </w:p>
        </w:tc>
        <w:tc>
          <w:tcPr>
            <w:tcW w:w="2007" w:type="dxa"/>
            <w:shd w:val="clear" w:color="auto" w:fill="auto"/>
            <w:vAlign w:val="center"/>
          </w:tcPr>
          <w:p w14:paraId="3E9BB49B">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2</w:t>
            </w:r>
          </w:p>
        </w:tc>
        <w:tc>
          <w:tcPr>
            <w:tcW w:w="2007" w:type="dxa"/>
            <w:shd w:val="clear" w:color="auto" w:fill="auto"/>
            <w:vAlign w:val="center"/>
          </w:tcPr>
          <w:p w14:paraId="4FE650DC">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3</w:t>
            </w:r>
          </w:p>
        </w:tc>
        <w:tc>
          <w:tcPr>
            <w:tcW w:w="2008" w:type="dxa"/>
            <w:vAlign w:val="center"/>
          </w:tcPr>
          <w:p w14:paraId="42E62B44">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4</w:t>
            </w:r>
          </w:p>
        </w:tc>
      </w:tr>
      <w:tr w14:paraId="6B41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shd w:val="clear" w:color="auto" w:fill="auto"/>
          </w:tcPr>
          <w:p w14:paraId="54C5CB91">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zh-CN" w:bidi="ar-SA"/>
              </w:rPr>
            </w:pPr>
            <w:r>
              <w:rPr>
                <w:rFonts w:hint="default" w:ascii="Times New Roman" w:hAnsi="Times New Roman" w:eastAsia="等线" w:cs="Times New Roman"/>
                <w:sz w:val="18"/>
                <w:lang w:val="en-GB" w:eastAsia="en-US" w:bidi="ar-SA"/>
              </w:rPr>
              <w:t>CA_C or CA_N</w:t>
            </w:r>
          </w:p>
        </w:tc>
        <w:tc>
          <w:tcPr>
            <w:tcW w:w="2007" w:type="dxa"/>
          </w:tcPr>
          <w:p w14:paraId="36B94C15">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the CA configurations with the maximum number of CCs, for which the supported maximum number of MIMO layers is not lower than 2.</w:t>
            </w:r>
          </w:p>
        </w:tc>
        <w:tc>
          <w:tcPr>
            <w:tcW w:w="2007" w:type="dxa"/>
            <w:shd w:val="clear" w:color="auto" w:fill="auto"/>
          </w:tcPr>
          <w:p w14:paraId="5AA486AA">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5336D9B">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N/A</w:t>
            </w:r>
          </w:p>
        </w:tc>
        <w:tc>
          <w:tcPr>
            <w:tcW w:w="2008" w:type="dxa"/>
          </w:tcPr>
          <w:p w14:paraId="43BE4E8C">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N/A</w:t>
            </w:r>
          </w:p>
        </w:tc>
      </w:tr>
      <w:tr w14:paraId="2E88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shd w:val="clear" w:color="auto" w:fill="auto"/>
          </w:tcPr>
          <w:p w14:paraId="2AAE13F2">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zh-CN" w:bidi="ar-SA"/>
              </w:rPr>
            </w:pPr>
            <w:r>
              <w:rPr>
                <w:rFonts w:hint="default" w:ascii="Times New Roman" w:hAnsi="Times New Roman" w:eastAsia="等线" w:cs="Times New Roman"/>
                <w:sz w:val="18"/>
                <w:lang w:val="en-GB" w:eastAsia="en-US" w:bidi="ar-SA"/>
              </w:rPr>
              <w:t>CA_AX</w:t>
            </w:r>
          </w:p>
        </w:tc>
        <w:tc>
          <w:tcPr>
            <w:tcW w:w="2007" w:type="dxa"/>
          </w:tcPr>
          <w:p w14:paraId="7EC0CE0F">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the CA configurations with the maximum number of CCs, for which the supported maximum number of MIMO layers is not lower than 2.</w:t>
            </w:r>
          </w:p>
        </w:tc>
        <w:tc>
          <w:tcPr>
            <w:tcW w:w="2007" w:type="dxa"/>
            <w:shd w:val="clear" w:color="auto" w:fill="auto"/>
          </w:tcPr>
          <w:p w14:paraId="49C5CF52">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7DF4051">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bookmarkStart w:id="10" w:name="OLE_LINK40"/>
            <w:r>
              <w:rPr>
                <w:rFonts w:hint="default" w:ascii="Times New Roman" w:hAnsi="Times New Roman" w:eastAsia="等线" w:cs="Times New Roman"/>
                <w:sz w:val="18"/>
                <w:lang w:val="en-GB" w:eastAsia="en-US" w:bidi="ar-SA"/>
              </w:rPr>
              <w:t>Select the CA configurations with the largest number of bands and with the maximum number of CCs, for which the supported maximum number of MIMO layers is not lower than 2.</w:t>
            </w:r>
            <w:bookmarkEnd w:id="10"/>
          </w:p>
        </w:tc>
        <w:tc>
          <w:tcPr>
            <w:tcW w:w="2008" w:type="dxa"/>
          </w:tcPr>
          <w:p w14:paraId="794CF938">
            <w:pPr>
              <w:keepNext/>
              <w:keepLines/>
              <w:pageBreakBefore w:val="0"/>
              <w:widowControl/>
              <w:kinsoku/>
              <w:wordWrap/>
              <w:overflowPunct/>
              <w:topLinePunct w:val="0"/>
              <w:autoSpaceDE/>
              <w:autoSpaceDN/>
              <w:bidi w:val="0"/>
              <w:adjustRightInd/>
              <w:snapToGrid/>
              <w:spacing w:before="60" w:beforeLines="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6D671C8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Besides, RAN4 introduced performance requirement for all bandwidth configuration for FDD 15kHz and TDD 15k/30kHz, independent of CA configurations and bandwidth combination sets. UE pass the test case with following test applicability rule to minimize the test effort:</w:t>
      </w:r>
    </w:p>
    <w:p w14:paraId="47D08440">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ascii="Arial" w:hAnsi="Arial" w:eastAsia="等线" w:cs="Times New Roman"/>
          <w:b/>
          <w:sz w:val="20"/>
          <w:szCs w:val="20"/>
          <w:lang w:val="en-GB" w:eastAsia="zh-CN" w:bidi="ar-SA"/>
        </w:rPr>
      </w:pPr>
      <w:r>
        <w:rPr>
          <w:rFonts w:ascii="Arial" w:hAnsi="Arial" w:eastAsia="等线" w:cs="Times New Roman"/>
          <w:b/>
          <w:sz w:val="20"/>
          <w:szCs w:val="20"/>
          <w:lang w:val="en-GB" w:eastAsia="en-US" w:bidi="ar-SA"/>
        </w:rPr>
        <w:t>Table 5.1.1.7.2-1: Applicability and test rules for CA UE demodulation tests</w:t>
      </w:r>
    </w:p>
    <w:tbl>
      <w:tblPr>
        <w:tblStyle w:val="20"/>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487"/>
        <w:gridCol w:w="2338"/>
        <w:gridCol w:w="2138"/>
        <w:gridCol w:w="2065"/>
      </w:tblGrid>
      <w:tr w14:paraId="0ED5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76D6332E">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en-US" w:bidi="ar-SA"/>
              </w:rPr>
            </w:pPr>
            <w:r>
              <w:rPr>
                <w:rFonts w:hint="default" w:ascii="Times New Roman" w:hAnsi="Times New Roman" w:eastAsia="等线" w:cs="Times New Roman"/>
                <w:b/>
                <w:sz w:val="18"/>
                <w:lang w:val="en-GB" w:eastAsia="en-US" w:bidi="ar-SA"/>
              </w:rPr>
              <w:t>Tests</w:t>
            </w:r>
          </w:p>
        </w:tc>
        <w:tc>
          <w:tcPr>
            <w:tcW w:w="1487" w:type="dxa"/>
          </w:tcPr>
          <w:p w14:paraId="48079471">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en-US" w:bidi="ar-SA"/>
              </w:rPr>
              <w:t xml:space="preserve">CA capability where the tests </w:t>
            </w:r>
            <w:r>
              <w:rPr>
                <w:rFonts w:hint="default" w:ascii="Times New Roman" w:hAnsi="Times New Roman" w:eastAsia="等线" w:cs="Times New Roman"/>
                <w:b/>
                <w:sz w:val="18"/>
                <w:lang w:val="en-GB" w:eastAsia="zh-CN" w:bidi="ar-SA"/>
              </w:rPr>
              <w:t>apply</w:t>
            </w:r>
          </w:p>
        </w:tc>
        <w:tc>
          <w:tcPr>
            <w:tcW w:w="2338" w:type="dxa"/>
            <w:shd w:val="clear" w:color="auto" w:fill="auto"/>
          </w:tcPr>
          <w:p w14:paraId="78F40363">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en-US" w:bidi="ar-SA"/>
              </w:rPr>
              <w:t>CA configuration</w:t>
            </w:r>
            <w:r>
              <w:rPr>
                <w:rFonts w:hint="default" w:ascii="Times New Roman" w:hAnsi="Times New Roman" w:eastAsia="等线" w:cs="Times New Roman"/>
                <w:b/>
                <w:sz w:val="18"/>
                <w:lang w:val="en-GB" w:eastAsia="zh-CN" w:bidi="ar-SA"/>
              </w:rPr>
              <w:t xml:space="preserve"> from the selected CA capability</w:t>
            </w:r>
            <w:r>
              <w:rPr>
                <w:rFonts w:hint="default" w:ascii="Times New Roman" w:hAnsi="Times New Roman" w:eastAsia="等线" w:cs="Times New Roman"/>
                <w:b/>
                <w:sz w:val="18"/>
                <w:lang w:val="en-GB" w:eastAsia="en-US" w:bidi="ar-SA"/>
              </w:rPr>
              <w:t xml:space="preserve"> where the tests </w:t>
            </w:r>
            <w:r>
              <w:rPr>
                <w:rFonts w:hint="default" w:ascii="Times New Roman" w:hAnsi="Times New Roman" w:eastAsia="等线" w:cs="Times New Roman"/>
                <w:b/>
                <w:sz w:val="18"/>
                <w:lang w:val="en-GB" w:eastAsia="zh-CN" w:bidi="ar-SA"/>
              </w:rPr>
              <w:t>apply</w:t>
            </w:r>
          </w:p>
        </w:tc>
        <w:tc>
          <w:tcPr>
            <w:tcW w:w="2138" w:type="dxa"/>
            <w:shd w:val="clear" w:color="auto" w:fill="auto"/>
          </w:tcPr>
          <w:p w14:paraId="432CC775">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CA B</w:t>
            </w:r>
            <w:r>
              <w:rPr>
                <w:rFonts w:hint="default" w:ascii="Times New Roman" w:hAnsi="Times New Roman" w:eastAsia="等线" w:cs="Times New Roman"/>
                <w:b/>
                <w:sz w:val="18"/>
                <w:lang w:val="en-GB" w:eastAsia="en-US" w:bidi="ar-SA"/>
              </w:rPr>
              <w:t xml:space="preserve">andwidth combination to be tested in </w:t>
            </w:r>
            <w:r>
              <w:rPr>
                <w:rFonts w:hint="default" w:ascii="Times New Roman" w:hAnsi="Times New Roman" w:eastAsia="等线" w:cs="Times New Roman"/>
                <w:b/>
                <w:sz w:val="18"/>
                <w:lang w:val="en-GB" w:eastAsia="zh-CN" w:bidi="ar-SA"/>
              </w:rPr>
              <w:t xml:space="preserve">priority </w:t>
            </w:r>
            <w:r>
              <w:rPr>
                <w:rFonts w:hint="default" w:ascii="Times New Roman" w:hAnsi="Times New Roman" w:eastAsia="等线" w:cs="Times New Roman"/>
                <w:b/>
                <w:sz w:val="18"/>
                <w:lang w:val="en-GB" w:eastAsia="en-US" w:bidi="ar-SA"/>
              </w:rPr>
              <w:t>order</w:t>
            </w:r>
          </w:p>
        </w:tc>
        <w:tc>
          <w:tcPr>
            <w:tcW w:w="2065" w:type="dxa"/>
          </w:tcPr>
          <w:p w14:paraId="441CD919">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PCell CC configuration</w:t>
            </w:r>
          </w:p>
        </w:tc>
      </w:tr>
      <w:tr w14:paraId="1665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0B4C838C">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szCs w:val="24"/>
                <w:lang w:val="en-GB" w:eastAsia="zh-CN" w:bidi="ar-SA"/>
              </w:rPr>
            </w:pPr>
            <w:r>
              <w:rPr>
                <w:rFonts w:hint="default" w:ascii="Times New Roman" w:hAnsi="Times New Roman" w:eastAsia="等线" w:cs="Times New Roman"/>
                <w:sz w:val="18"/>
                <w:szCs w:val="24"/>
                <w:lang w:val="en-GB" w:eastAsia="zh-CN" w:bidi="ar-SA"/>
              </w:rPr>
              <w:t>FDD 15 kHz + FDD 15 kHz</w:t>
            </w:r>
          </w:p>
        </w:tc>
        <w:tc>
          <w:tcPr>
            <w:tcW w:w="1487" w:type="dxa"/>
          </w:tcPr>
          <w:p w14:paraId="1B6E355A">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CA_C, CA_N, CA_AX</w:t>
            </w:r>
          </w:p>
        </w:tc>
        <w:tc>
          <w:tcPr>
            <w:tcW w:w="2338" w:type="dxa"/>
            <w:shd w:val="clear" w:color="auto" w:fill="auto"/>
          </w:tcPr>
          <w:p w14:paraId="2B1BCFA7">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Table 5.1.1.7.2-2</w:t>
            </w:r>
          </w:p>
        </w:tc>
        <w:tc>
          <w:tcPr>
            <w:tcW w:w="2138" w:type="dxa"/>
            <w:shd w:val="clear" w:color="auto" w:fill="auto"/>
          </w:tcPr>
          <w:p w14:paraId="248536E1">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6BB4ACB6">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Any of CCs</w:t>
            </w:r>
          </w:p>
        </w:tc>
      </w:tr>
      <w:tr w14:paraId="7669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6BF001C8">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szCs w:val="24"/>
                <w:lang w:val="en-GB" w:eastAsia="zh-CN" w:bidi="ar-SA"/>
              </w:rPr>
            </w:pPr>
            <w:r>
              <w:rPr>
                <w:rFonts w:hint="default" w:ascii="Times New Roman" w:hAnsi="Times New Roman" w:eastAsia="等线" w:cs="Times New Roman"/>
                <w:sz w:val="18"/>
                <w:szCs w:val="24"/>
                <w:lang w:val="en-GB" w:eastAsia="zh-CN" w:bidi="ar-SA"/>
              </w:rPr>
              <w:t>TDD 30 kHz + TDD 30 kHz</w:t>
            </w:r>
          </w:p>
        </w:tc>
        <w:tc>
          <w:tcPr>
            <w:tcW w:w="1487" w:type="dxa"/>
          </w:tcPr>
          <w:p w14:paraId="05C19997">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CA_C, CA_N, CA_AX</w:t>
            </w:r>
          </w:p>
        </w:tc>
        <w:tc>
          <w:tcPr>
            <w:tcW w:w="2338" w:type="dxa"/>
            <w:shd w:val="clear" w:color="auto" w:fill="auto"/>
          </w:tcPr>
          <w:p w14:paraId="39E643CA">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Table 5.1.1.7.2-2</w:t>
            </w:r>
          </w:p>
        </w:tc>
        <w:tc>
          <w:tcPr>
            <w:tcW w:w="2138" w:type="dxa"/>
            <w:shd w:val="clear" w:color="auto" w:fill="auto"/>
          </w:tcPr>
          <w:p w14:paraId="3BA69841">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13B40679">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Any of CCs</w:t>
            </w:r>
          </w:p>
        </w:tc>
      </w:tr>
      <w:tr w14:paraId="306C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296096BA">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szCs w:val="24"/>
                <w:lang w:val="en-US" w:eastAsia="zh-CN" w:bidi="ar-SA"/>
              </w:rPr>
            </w:pPr>
            <w:r>
              <w:rPr>
                <w:rFonts w:hint="default" w:ascii="Times New Roman" w:hAnsi="Times New Roman" w:eastAsia="等线" w:cs="Times New Roman"/>
                <w:sz w:val="18"/>
                <w:szCs w:val="24"/>
                <w:lang w:val="en-GB" w:eastAsia="zh-CN" w:bidi="ar-SA"/>
              </w:rPr>
              <w:t>FDD 15 kHz + TDD 30 kH</w:t>
            </w:r>
            <w:r>
              <w:rPr>
                <w:rFonts w:hint="default" w:ascii="Times New Roman" w:hAnsi="Times New Roman" w:eastAsia="等线" w:cs="Times New Roman"/>
                <w:sz w:val="18"/>
                <w:szCs w:val="24"/>
                <w:lang w:val="en-US" w:eastAsia="zh-CN" w:bidi="ar-SA"/>
              </w:rPr>
              <w:t>z</w:t>
            </w:r>
          </w:p>
        </w:tc>
        <w:tc>
          <w:tcPr>
            <w:tcW w:w="1487" w:type="dxa"/>
          </w:tcPr>
          <w:p w14:paraId="3F4623B3">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CA_AX</w:t>
            </w:r>
          </w:p>
        </w:tc>
        <w:tc>
          <w:tcPr>
            <w:tcW w:w="2338" w:type="dxa"/>
            <w:shd w:val="clear" w:color="auto" w:fill="auto"/>
          </w:tcPr>
          <w:p w14:paraId="0C7C0094">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Table 5.1.1.7.2-2</w:t>
            </w:r>
          </w:p>
        </w:tc>
        <w:tc>
          <w:tcPr>
            <w:tcW w:w="2138" w:type="dxa"/>
            <w:shd w:val="clear" w:color="auto" w:fill="auto"/>
          </w:tcPr>
          <w:p w14:paraId="248626D3">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750F02A7">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TDD CC if supported, otherwise FDD CC</w:t>
            </w:r>
          </w:p>
        </w:tc>
      </w:tr>
      <w:tr w14:paraId="21C6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26C9E8C0">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szCs w:val="24"/>
                <w:lang w:val="en-GB" w:eastAsia="zh-CN" w:bidi="ar-SA"/>
              </w:rPr>
            </w:pPr>
            <w:r>
              <w:rPr>
                <w:rFonts w:hint="default" w:ascii="Times New Roman" w:hAnsi="Times New Roman" w:eastAsia="等线" w:cs="Times New Roman"/>
                <w:sz w:val="18"/>
                <w:szCs w:val="24"/>
                <w:lang w:val="en-GB" w:eastAsia="zh-CN" w:bidi="ar-SA"/>
              </w:rPr>
              <w:t>FDD 15 kHz + TDD 15 kHz</w:t>
            </w:r>
            <w:r>
              <w:rPr>
                <w:rFonts w:hint="default" w:ascii="Times New Roman" w:hAnsi="Times New Roman" w:eastAsia="等线" w:cs="Times New Roman"/>
                <w:sz w:val="18"/>
                <w:szCs w:val="24"/>
                <w:lang w:val="en-GB" w:eastAsia="en-US" w:bidi="ar-SA"/>
              </w:rPr>
              <w:t>(NOTE 2)</w:t>
            </w:r>
          </w:p>
        </w:tc>
        <w:tc>
          <w:tcPr>
            <w:tcW w:w="1487" w:type="dxa"/>
          </w:tcPr>
          <w:p w14:paraId="1AAF2C6B">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CA_AX</w:t>
            </w:r>
          </w:p>
        </w:tc>
        <w:tc>
          <w:tcPr>
            <w:tcW w:w="2338" w:type="dxa"/>
            <w:shd w:val="clear" w:color="auto" w:fill="auto"/>
          </w:tcPr>
          <w:p w14:paraId="0EF2AE21">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Table 5.1.1.7.2-2</w:t>
            </w:r>
          </w:p>
        </w:tc>
        <w:tc>
          <w:tcPr>
            <w:tcW w:w="2138" w:type="dxa"/>
            <w:shd w:val="clear" w:color="auto" w:fill="auto"/>
          </w:tcPr>
          <w:p w14:paraId="50FAD113">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191FB368">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Any of CCs</w:t>
            </w:r>
          </w:p>
        </w:tc>
      </w:tr>
      <w:tr w14:paraId="5231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3" w:type="dxa"/>
            <w:shd w:val="clear" w:color="auto" w:fill="auto"/>
          </w:tcPr>
          <w:p w14:paraId="43C928D2">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szCs w:val="24"/>
                <w:lang w:val="en-GB" w:eastAsia="zh-CN" w:bidi="ar-SA"/>
              </w:rPr>
            </w:pPr>
            <w:r>
              <w:rPr>
                <w:rFonts w:hint="default" w:ascii="Times New Roman" w:hAnsi="Times New Roman" w:eastAsia="等线" w:cs="Times New Roman"/>
                <w:sz w:val="18"/>
                <w:szCs w:val="24"/>
                <w:lang w:val="en-GB" w:eastAsia="zh-CN" w:bidi="ar-SA"/>
              </w:rPr>
              <w:t>TDD 15 kHz + TDD 30 kHz</w:t>
            </w:r>
            <w:r>
              <w:rPr>
                <w:rFonts w:hint="default" w:ascii="Times New Roman" w:hAnsi="Times New Roman" w:eastAsia="等线" w:cs="Times New Roman"/>
                <w:sz w:val="18"/>
                <w:szCs w:val="24"/>
                <w:lang w:val="en-GB" w:eastAsia="en-US" w:bidi="ar-SA"/>
              </w:rPr>
              <w:t xml:space="preserve"> (NOTE 3)</w:t>
            </w:r>
          </w:p>
        </w:tc>
        <w:tc>
          <w:tcPr>
            <w:tcW w:w="1487" w:type="dxa"/>
          </w:tcPr>
          <w:p w14:paraId="22D77480">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CA_AX</w:t>
            </w:r>
          </w:p>
        </w:tc>
        <w:tc>
          <w:tcPr>
            <w:tcW w:w="2338" w:type="dxa"/>
            <w:shd w:val="clear" w:color="auto" w:fill="auto"/>
          </w:tcPr>
          <w:p w14:paraId="7E33CF8C">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Table 5.1.1.7.2-2</w:t>
            </w:r>
          </w:p>
        </w:tc>
        <w:tc>
          <w:tcPr>
            <w:tcW w:w="2138" w:type="dxa"/>
            <w:shd w:val="clear" w:color="auto" w:fill="auto"/>
          </w:tcPr>
          <w:p w14:paraId="46B06F75">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389685B8">
            <w:pPr>
              <w:keepNext/>
              <w:keepLines/>
              <w:pageBreakBefore w:val="0"/>
              <w:widowControl/>
              <w:kinsoku/>
              <w:wordWrap/>
              <w:overflowPunct/>
              <w:topLinePunct w:val="0"/>
              <w:autoSpaceDE/>
              <w:autoSpaceDN/>
              <w:bidi w:val="0"/>
              <w:adjustRightInd/>
              <w:snapToGrid/>
              <w:spacing w:before="60" w:beforeLines="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15 kHz CC if supported, otherwise 30 kHz CC</w:t>
            </w:r>
          </w:p>
        </w:tc>
      </w:tr>
      <w:tr w14:paraId="4175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1" w:type="dxa"/>
            <w:gridSpan w:val="5"/>
            <w:shd w:val="clear" w:color="auto" w:fill="auto"/>
            <w:vAlign w:val="center"/>
          </w:tcPr>
          <w:p w14:paraId="060F5496">
            <w:pPr>
              <w:keepNext/>
              <w:keepLines/>
              <w:pageBreakBefore w:val="0"/>
              <w:widowControl/>
              <w:kinsoku/>
              <w:wordWrap/>
              <w:overflowPunct/>
              <w:topLinePunct w:val="0"/>
              <w:autoSpaceDE/>
              <w:autoSpaceDN/>
              <w:bidi w:val="0"/>
              <w:adjustRightInd/>
              <w:snapToGrid/>
              <w:spacing w:before="60" w:beforeLines="0" w:after="60" w:line="240" w:lineRule="auto"/>
              <w:ind w:left="851" w:hanging="851"/>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NOTE 1:</w:t>
            </w:r>
            <w:r>
              <w:rPr>
                <w:rFonts w:hint="default" w:ascii="Times New Roman" w:hAnsi="Times New Roman" w:eastAsia="等线" w:cs="Times New Roman"/>
                <w:sz w:val="18"/>
                <w:lang w:val="en-GB" w:eastAsia="en-US" w:bidi="ar-SA"/>
              </w:rPr>
              <w:tab/>
            </w:r>
            <w:r>
              <w:rPr>
                <w:rFonts w:hint="default" w:ascii="Times New Roman" w:hAnsi="Times New Roman" w:eastAsia="等线" w:cs="Times New Roman"/>
                <w:sz w:val="18"/>
                <w:lang w:val="en-GB" w:eastAsia="en-US" w:bidi="ar-SA"/>
              </w:rPr>
              <w:t>In case CA_AX with different number of X is supported then one or two CA configurations are selected based on procedure from Table 5.1.1.7.2-2.</w:t>
            </w:r>
          </w:p>
          <w:p w14:paraId="733138F8">
            <w:pPr>
              <w:keepNext/>
              <w:keepLines/>
              <w:pageBreakBefore w:val="0"/>
              <w:widowControl/>
              <w:kinsoku/>
              <w:wordWrap/>
              <w:overflowPunct/>
              <w:topLinePunct w:val="0"/>
              <w:autoSpaceDE/>
              <w:autoSpaceDN/>
              <w:bidi w:val="0"/>
              <w:adjustRightInd/>
              <w:snapToGrid/>
              <w:spacing w:before="60" w:beforeLines="0" w:after="60" w:line="240" w:lineRule="auto"/>
              <w:ind w:left="851" w:hanging="851"/>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NOTE 2:</w:t>
            </w:r>
            <w:r>
              <w:rPr>
                <w:rFonts w:hint="default" w:ascii="Times New Roman" w:hAnsi="Times New Roman" w:eastAsia="等线" w:cs="Times New Roman"/>
                <w:sz w:val="18"/>
                <w:lang w:val="en-GB" w:eastAsia="en-US" w:bidi="ar-SA"/>
              </w:rPr>
              <w:tab/>
            </w:r>
            <w:r>
              <w:rPr>
                <w:rFonts w:hint="default" w:ascii="Times New Roman" w:hAnsi="Times New Roman" w:eastAsia="等线" w:cs="Times New Roman"/>
                <w:sz w:val="18"/>
                <w:lang w:val="en-GB" w:eastAsia="en-US" w:bidi="ar-SA"/>
              </w:rPr>
              <w:t xml:space="preserve">These scenarios are only tested for UEs which are not verified with Test 3 in </w:t>
            </w:r>
            <w:r>
              <w:rPr>
                <w:rFonts w:hint="default" w:ascii="Times New Roman" w:hAnsi="Times New Roman" w:eastAsia="等线" w:cs="Times New Roman"/>
                <w:sz w:val="18"/>
                <w:lang w:val="en-GB" w:eastAsia="zh-CN" w:bidi="ar-SA"/>
              </w:rPr>
              <w:t xml:space="preserve">Clause </w:t>
            </w:r>
            <w:r>
              <w:rPr>
                <w:rFonts w:hint="default" w:ascii="Times New Roman" w:hAnsi="Times New Roman" w:eastAsia="等线" w:cs="Times New Roman"/>
                <w:sz w:val="18"/>
                <w:lang w:val="en-GB" w:eastAsia="en-US" w:bidi="ar-SA"/>
              </w:rPr>
              <w:t>5.2A.2.1 and 5.2A.3.1.</w:t>
            </w:r>
          </w:p>
          <w:p w14:paraId="278E6DF2">
            <w:pPr>
              <w:keepNext/>
              <w:keepLines/>
              <w:pageBreakBefore w:val="0"/>
              <w:widowControl/>
              <w:kinsoku/>
              <w:wordWrap/>
              <w:overflowPunct/>
              <w:topLinePunct w:val="0"/>
              <w:autoSpaceDE/>
              <w:autoSpaceDN/>
              <w:bidi w:val="0"/>
              <w:adjustRightInd/>
              <w:snapToGrid/>
              <w:spacing w:before="60" w:beforeLines="0" w:after="60" w:line="240" w:lineRule="auto"/>
              <w:ind w:left="851" w:hanging="851"/>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NOTE 3:</w:t>
            </w:r>
            <w:r>
              <w:rPr>
                <w:rFonts w:hint="default" w:ascii="Times New Roman" w:hAnsi="Times New Roman" w:eastAsia="等线" w:cs="Times New Roman"/>
                <w:sz w:val="18"/>
                <w:lang w:val="en-GB" w:eastAsia="en-US" w:bidi="ar-SA"/>
              </w:rPr>
              <w:tab/>
            </w:r>
            <w:r>
              <w:rPr>
                <w:rFonts w:hint="default" w:ascii="Times New Roman" w:hAnsi="Times New Roman" w:eastAsia="等线" w:cs="Times New Roman"/>
                <w:sz w:val="18"/>
                <w:lang w:val="en-GB" w:eastAsia="en-US" w:bidi="ar-SA"/>
              </w:rPr>
              <w:t xml:space="preserve">These scenarios are only tested for UEs which are not verified with Test 2 in </w:t>
            </w:r>
            <w:r>
              <w:rPr>
                <w:rFonts w:hint="default" w:ascii="Times New Roman" w:hAnsi="Times New Roman" w:eastAsia="等线" w:cs="Times New Roman"/>
                <w:sz w:val="18"/>
                <w:lang w:val="en-GB" w:eastAsia="zh-CN" w:bidi="ar-SA"/>
              </w:rPr>
              <w:t xml:space="preserve">Clause </w:t>
            </w:r>
            <w:r>
              <w:rPr>
                <w:rFonts w:hint="default" w:ascii="Times New Roman" w:hAnsi="Times New Roman" w:eastAsia="等线" w:cs="Times New Roman"/>
                <w:sz w:val="18"/>
                <w:lang w:val="en-GB" w:eastAsia="en-US" w:bidi="ar-SA"/>
              </w:rPr>
              <w:t>5.2A.2.1 and 5.2A.3.1.</w:t>
            </w:r>
          </w:p>
        </w:tc>
      </w:tr>
    </w:tbl>
    <w:p w14:paraId="2EA2AEF0">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high level, we think the above CA configuration selection rule and test applicability rule can be reused for Rel-19 ATG CA, but some refinement need to be done with the consideration of ATG specific feature, including:</w:t>
      </w:r>
    </w:p>
    <w:p w14:paraId="4AE9E8A3">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intra-band contiguous CA and inter-band CA are included in WID</w:t>
      </w:r>
    </w:p>
    <w:p w14:paraId="1CE0B6A4">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FDD 15kHz +TDD 30kHz case, (e.g., Example band combination: CA_n3A-n39A), FDD CC is configured as PCC </w:t>
      </w:r>
    </w:p>
    <w:p w14:paraId="6A907555">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Only FDD 15kHz and TDD 30kHz are supported for Rel-18 single carrier requirement </w:t>
      </w:r>
    </w:p>
    <w:p w14:paraId="43AF97A3">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After the refinement, the CA configuration selection rule and test applicability rule for Rel-19 ATG CA shall be:</w:t>
      </w:r>
    </w:p>
    <w:p w14:paraId="3E9F55F2">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UEs supporting different CA configurations and bandwidth combination sets, the tested CA configuration are chose as follows:</w:t>
      </w:r>
    </w:p>
    <w:tbl>
      <w:tblPr>
        <w:tblStyle w:val="20"/>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72DC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364FC5A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en-US" w:bidi="ar-SA"/>
              </w:rPr>
            </w:pPr>
            <w:r>
              <w:rPr>
                <w:rFonts w:hint="default" w:ascii="Times New Roman" w:hAnsi="Times New Roman" w:eastAsia="等线" w:cs="Times New Roman"/>
                <w:b/>
                <w:sz w:val="18"/>
                <w:lang w:val="en-GB" w:eastAsia="en-US" w:bidi="ar-SA"/>
              </w:rPr>
              <w:t>CA capability</w:t>
            </w:r>
          </w:p>
        </w:tc>
        <w:tc>
          <w:tcPr>
            <w:tcW w:w="2007" w:type="dxa"/>
            <w:vAlign w:val="center"/>
          </w:tcPr>
          <w:p w14:paraId="5489541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1</w:t>
            </w:r>
          </w:p>
        </w:tc>
        <w:tc>
          <w:tcPr>
            <w:tcW w:w="2007" w:type="dxa"/>
            <w:shd w:val="clear" w:color="auto" w:fill="auto"/>
            <w:vAlign w:val="center"/>
          </w:tcPr>
          <w:p w14:paraId="5C2014A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2</w:t>
            </w:r>
          </w:p>
        </w:tc>
        <w:tc>
          <w:tcPr>
            <w:tcW w:w="2007" w:type="dxa"/>
            <w:shd w:val="clear" w:color="auto" w:fill="auto"/>
            <w:vAlign w:val="center"/>
          </w:tcPr>
          <w:p w14:paraId="64EB7ED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3</w:t>
            </w:r>
          </w:p>
        </w:tc>
        <w:tc>
          <w:tcPr>
            <w:tcW w:w="2008" w:type="dxa"/>
            <w:vAlign w:val="center"/>
          </w:tcPr>
          <w:p w14:paraId="4C6B4B4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Step 4</w:t>
            </w:r>
          </w:p>
        </w:tc>
      </w:tr>
      <w:tr w14:paraId="4595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04156A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zh-CN" w:bidi="ar-SA"/>
              </w:rPr>
            </w:pPr>
            <w:bookmarkStart w:id="11" w:name="OLE_LINK36" w:colFirst="1" w:colLast="4"/>
            <w:r>
              <w:rPr>
                <w:rFonts w:hint="default" w:ascii="Times New Roman" w:hAnsi="Times New Roman" w:eastAsia="等线" w:cs="Times New Roman"/>
                <w:sz w:val="18"/>
                <w:lang w:val="en-GB" w:eastAsia="en-US" w:bidi="ar-SA"/>
              </w:rPr>
              <w:t>CA_C</w:t>
            </w:r>
          </w:p>
        </w:tc>
        <w:tc>
          <w:tcPr>
            <w:tcW w:w="2007" w:type="dxa"/>
          </w:tcPr>
          <w:p w14:paraId="4713DEF3">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US" w:eastAsia="zh-CN" w:bidi="ar-SA"/>
              </w:rPr>
            </w:pPr>
            <w:bookmarkStart w:id="12" w:name="OLE_LINK37"/>
            <w:r>
              <w:rPr>
                <w:rFonts w:hint="eastAsia" w:eastAsia="等线" w:cs="Times New Roman"/>
                <w:sz w:val="18"/>
                <w:lang w:val="en-US" w:eastAsia="zh-CN" w:bidi="ar-SA"/>
              </w:rPr>
              <w:t>S</w:t>
            </w:r>
            <w:r>
              <w:rPr>
                <w:rFonts w:hint="default" w:ascii="Times New Roman" w:hAnsi="Times New Roman" w:eastAsia="等线" w:cs="Times New Roman"/>
                <w:sz w:val="18"/>
                <w:lang w:val="en-GB" w:eastAsia="en-US" w:bidi="ar-SA"/>
              </w:rPr>
              <w:t>elect the CA configurations with the maximum number of CCs</w:t>
            </w:r>
            <w:r>
              <w:rPr>
                <w:rFonts w:hint="eastAsia" w:eastAsia="等线" w:cs="Times New Roman"/>
                <w:sz w:val="18"/>
                <w:lang w:val="en-US" w:eastAsia="zh-CN" w:bidi="ar-SA"/>
              </w:rPr>
              <w:t xml:space="preserve">, </w:t>
            </w:r>
            <w:r>
              <w:rPr>
                <w:rFonts w:hint="default" w:ascii="Times New Roman" w:hAnsi="Times New Roman" w:eastAsia="等线" w:cs="Times New Roman"/>
                <w:sz w:val="18"/>
                <w:lang w:val="en-GB" w:eastAsia="en-US" w:bidi="ar-SA"/>
              </w:rPr>
              <w:t>for which the supported maximum number of MIMO layers is not lower than 2.</w:t>
            </w:r>
            <w:bookmarkEnd w:id="12"/>
          </w:p>
        </w:tc>
        <w:tc>
          <w:tcPr>
            <w:tcW w:w="2007" w:type="dxa"/>
            <w:shd w:val="clear" w:color="auto" w:fill="auto"/>
          </w:tcPr>
          <w:p w14:paraId="6E092AB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D7C225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N/A</w:t>
            </w:r>
          </w:p>
        </w:tc>
        <w:tc>
          <w:tcPr>
            <w:tcW w:w="2008" w:type="dxa"/>
          </w:tcPr>
          <w:p w14:paraId="4FFBBB0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N/A</w:t>
            </w:r>
          </w:p>
        </w:tc>
      </w:tr>
      <w:tr w14:paraId="4F5E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2B22236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zh-CN" w:bidi="ar-SA"/>
              </w:rPr>
            </w:pPr>
            <w:r>
              <w:rPr>
                <w:rFonts w:hint="default" w:ascii="Times New Roman" w:hAnsi="Times New Roman" w:eastAsia="等线" w:cs="Times New Roman"/>
                <w:sz w:val="18"/>
                <w:lang w:val="en-GB" w:eastAsia="en-US" w:bidi="ar-SA"/>
              </w:rPr>
              <w:t>CA_AX</w:t>
            </w:r>
          </w:p>
        </w:tc>
        <w:tc>
          <w:tcPr>
            <w:tcW w:w="2007" w:type="dxa"/>
          </w:tcPr>
          <w:p w14:paraId="518EF96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US" w:eastAsia="zh-CN" w:bidi="ar-SA"/>
              </w:rPr>
            </w:pPr>
            <w:bookmarkStart w:id="13" w:name="OLE_LINK39"/>
            <w:r>
              <w:rPr>
                <w:rFonts w:hint="eastAsia" w:eastAsia="等线" w:cs="Times New Roman"/>
                <w:sz w:val="18"/>
                <w:lang w:val="en-US" w:eastAsia="zh-CN" w:bidi="ar-SA"/>
              </w:rPr>
              <w:t>S</w:t>
            </w:r>
            <w:r>
              <w:rPr>
                <w:rFonts w:hint="default" w:ascii="Times New Roman" w:hAnsi="Times New Roman" w:eastAsia="等线" w:cs="Times New Roman"/>
                <w:sz w:val="18"/>
                <w:lang w:val="en-GB" w:eastAsia="en-US" w:bidi="ar-SA"/>
              </w:rPr>
              <w:t>elect the CA configurations with the maximum number of CCs</w:t>
            </w:r>
            <w:r>
              <w:rPr>
                <w:rFonts w:hint="eastAsia" w:eastAsia="等线" w:cs="Times New Roman"/>
                <w:sz w:val="18"/>
                <w:lang w:val="en-US" w:eastAsia="zh-CN" w:bidi="ar-SA"/>
              </w:rPr>
              <w:t xml:space="preserve">, </w:t>
            </w:r>
            <w:r>
              <w:rPr>
                <w:rFonts w:hint="default" w:ascii="Times New Roman" w:hAnsi="Times New Roman" w:eastAsia="等线" w:cs="Times New Roman"/>
                <w:sz w:val="18"/>
                <w:lang w:val="en-GB" w:eastAsia="en-US" w:bidi="ar-SA"/>
              </w:rPr>
              <w:t>for which the supported maximum number of MIMO layers is not lower than 2.</w:t>
            </w:r>
            <w:bookmarkEnd w:id="13"/>
          </w:p>
        </w:tc>
        <w:tc>
          <w:tcPr>
            <w:tcW w:w="2007" w:type="dxa"/>
            <w:shd w:val="clear" w:color="auto" w:fill="auto"/>
          </w:tcPr>
          <w:p w14:paraId="090F7CA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154893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US" w:eastAsia="zh-CN" w:bidi="ar-SA"/>
              </w:rPr>
            </w:pPr>
            <w:r>
              <w:rPr>
                <w:rFonts w:hint="eastAsia" w:eastAsia="等线" w:cs="Times New Roman"/>
                <w:sz w:val="18"/>
                <w:lang w:val="en-US" w:eastAsia="zh-CN" w:bidi="ar-SA"/>
              </w:rPr>
              <w:t>S</w:t>
            </w:r>
            <w:r>
              <w:rPr>
                <w:rFonts w:hint="default" w:ascii="Times New Roman" w:hAnsi="Times New Roman" w:eastAsia="等线" w:cs="Times New Roman"/>
                <w:sz w:val="18"/>
                <w:lang w:val="en-GB" w:eastAsia="en-US" w:bidi="ar-SA"/>
              </w:rPr>
              <w:t xml:space="preserve">elect the CA configurations with the largest number of bands and with the maximum number of CCs, for which the supported maximum number of MIMO layers is </w:t>
            </w:r>
            <w:bookmarkStart w:id="14" w:name="OLE_LINK41"/>
            <w:r>
              <w:rPr>
                <w:rFonts w:hint="default" w:ascii="Times New Roman" w:hAnsi="Times New Roman" w:eastAsia="等线" w:cs="Times New Roman"/>
                <w:sz w:val="18"/>
                <w:lang w:val="en-GB" w:eastAsia="en-US" w:bidi="ar-SA"/>
              </w:rPr>
              <w:t xml:space="preserve">not lower than </w:t>
            </w:r>
            <w:bookmarkEnd w:id="14"/>
            <w:r>
              <w:rPr>
                <w:rFonts w:hint="default" w:ascii="Times New Roman" w:hAnsi="Times New Roman" w:eastAsia="等线" w:cs="Times New Roman"/>
                <w:sz w:val="18"/>
                <w:lang w:val="en-GB" w:eastAsia="en-US" w:bidi="ar-SA"/>
              </w:rPr>
              <w:t>2.</w:t>
            </w:r>
          </w:p>
        </w:tc>
        <w:tc>
          <w:tcPr>
            <w:tcW w:w="2008" w:type="dxa"/>
          </w:tcPr>
          <w:p w14:paraId="158340F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bookmarkEnd w:id="11"/>
    </w:tbl>
    <w:p w14:paraId="3DFE3B25">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test applicability rules are defined as follows:</w:t>
      </w:r>
    </w:p>
    <w:tbl>
      <w:tblPr>
        <w:tblStyle w:val="20"/>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487"/>
        <w:gridCol w:w="2338"/>
        <w:gridCol w:w="2138"/>
        <w:gridCol w:w="2065"/>
      </w:tblGrid>
      <w:tr w14:paraId="4B96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auto"/>
          </w:tcPr>
          <w:p w14:paraId="5B313C0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en-US" w:bidi="ar-SA"/>
              </w:rPr>
            </w:pPr>
            <w:r>
              <w:rPr>
                <w:rFonts w:hint="default" w:ascii="Times New Roman" w:hAnsi="Times New Roman" w:eastAsia="等线" w:cs="Times New Roman"/>
                <w:b/>
                <w:sz w:val="18"/>
                <w:lang w:val="en-GB" w:eastAsia="en-US" w:bidi="ar-SA"/>
              </w:rPr>
              <w:t>Tests</w:t>
            </w:r>
          </w:p>
        </w:tc>
        <w:tc>
          <w:tcPr>
            <w:tcW w:w="1487" w:type="dxa"/>
          </w:tcPr>
          <w:p w14:paraId="3CCE7E3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en-US" w:bidi="ar-SA"/>
              </w:rPr>
              <w:t xml:space="preserve">CA capability where the tests </w:t>
            </w:r>
            <w:r>
              <w:rPr>
                <w:rFonts w:hint="default" w:ascii="Times New Roman" w:hAnsi="Times New Roman" w:eastAsia="等线" w:cs="Times New Roman"/>
                <w:b/>
                <w:sz w:val="18"/>
                <w:lang w:val="en-GB" w:eastAsia="zh-CN" w:bidi="ar-SA"/>
              </w:rPr>
              <w:t>apply</w:t>
            </w:r>
          </w:p>
        </w:tc>
        <w:tc>
          <w:tcPr>
            <w:tcW w:w="2338" w:type="dxa"/>
            <w:shd w:val="clear" w:color="auto" w:fill="auto"/>
          </w:tcPr>
          <w:p w14:paraId="35CACED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en-US" w:bidi="ar-SA"/>
              </w:rPr>
              <w:t>CA configuration</w:t>
            </w:r>
            <w:r>
              <w:rPr>
                <w:rFonts w:hint="default" w:ascii="Times New Roman" w:hAnsi="Times New Roman" w:eastAsia="等线" w:cs="Times New Roman"/>
                <w:b/>
                <w:sz w:val="18"/>
                <w:lang w:val="en-GB" w:eastAsia="zh-CN" w:bidi="ar-SA"/>
              </w:rPr>
              <w:t xml:space="preserve"> from the selected CA capability</w:t>
            </w:r>
            <w:r>
              <w:rPr>
                <w:rFonts w:hint="default" w:ascii="Times New Roman" w:hAnsi="Times New Roman" w:eastAsia="等线" w:cs="Times New Roman"/>
                <w:b/>
                <w:sz w:val="18"/>
                <w:lang w:val="en-GB" w:eastAsia="en-US" w:bidi="ar-SA"/>
              </w:rPr>
              <w:t xml:space="preserve"> where the tests </w:t>
            </w:r>
            <w:r>
              <w:rPr>
                <w:rFonts w:hint="default" w:ascii="Times New Roman" w:hAnsi="Times New Roman" w:eastAsia="等线" w:cs="Times New Roman"/>
                <w:b/>
                <w:sz w:val="18"/>
                <w:lang w:val="en-GB" w:eastAsia="zh-CN" w:bidi="ar-SA"/>
              </w:rPr>
              <w:t>apply</w:t>
            </w:r>
          </w:p>
        </w:tc>
        <w:tc>
          <w:tcPr>
            <w:tcW w:w="2138" w:type="dxa"/>
            <w:shd w:val="clear" w:color="auto" w:fill="auto"/>
          </w:tcPr>
          <w:p w14:paraId="6E2DA80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CA B</w:t>
            </w:r>
            <w:r>
              <w:rPr>
                <w:rFonts w:hint="default" w:ascii="Times New Roman" w:hAnsi="Times New Roman" w:eastAsia="等线" w:cs="Times New Roman"/>
                <w:b/>
                <w:sz w:val="18"/>
                <w:lang w:val="en-GB" w:eastAsia="en-US" w:bidi="ar-SA"/>
              </w:rPr>
              <w:t xml:space="preserve">andwidth combination to be tested in </w:t>
            </w:r>
            <w:r>
              <w:rPr>
                <w:rFonts w:hint="default" w:ascii="Times New Roman" w:hAnsi="Times New Roman" w:eastAsia="等线" w:cs="Times New Roman"/>
                <w:b/>
                <w:sz w:val="18"/>
                <w:lang w:val="en-GB" w:eastAsia="zh-CN" w:bidi="ar-SA"/>
              </w:rPr>
              <w:t xml:space="preserve">priority </w:t>
            </w:r>
            <w:r>
              <w:rPr>
                <w:rFonts w:hint="default" w:ascii="Times New Roman" w:hAnsi="Times New Roman" w:eastAsia="等线" w:cs="Times New Roman"/>
                <w:b/>
                <w:sz w:val="18"/>
                <w:lang w:val="en-GB" w:eastAsia="en-US" w:bidi="ar-SA"/>
              </w:rPr>
              <w:t>order</w:t>
            </w:r>
          </w:p>
        </w:tc>
        <w:tc>
          <w:tcPr>
            <w:tcW w:w="2065" w:type="dxa"/>
          </w:tcPr>
          <w:p w14:paraId="5EE6739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sz w:val="18"/>
                <w:lang w:val="en-GB" w:eastAsia="zh-CN" w:bidi="ar-SA"/>
              </w:rPr>
            </w:pPr>
            <w:r>
              <w:rPr>
                <w:rFonts w:hint="default" w:ascii="Times New Roman" w:hAnsi="Times New Roman" w:eastAsia="等线" w:cs="Times New Roman"/>
                <w:b/>
                <w:sz w:val="18"/>
                <w:lang w:val="en-GB" w:eastAsia="zh-CN" w:bidi="ar-SA"/>
              </w:rPr>
              <w:t>PCell CC configuration</w:t>
            </w:r>
          </w:p>
        </w:tc>
      </w:tr>
      <w:tr w14:paraId="015B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auto"/>
          </w:tcPr>
          <w:p w14:paraId="0407F36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szCs w:val="24"/>
                <w:lang w:val="en-GB" w:eastAsia="zh-CN" w:bidi="ar-SA"/>
              </w:rPr>
            </w:pPr>
            <w:bookmarkStart w:id="15" w:name="OLE_LINK38" w:colFirst="2" w:colLast="2"/>
            <w:r>
              <w:rPr>
                <w:rFonts w:hint="default" w:ascii="Times New Roman" w:hAnsi="Times New Roman" w:eastAsia="等线" w:cs="Times New Roman"/>
                <w:sz w:val="18"/>
                <w:szCs w:val="24"/>
                <w:lang w:val="en-GB" w:eastAsia="zh-CN" w:bidi="ar-SA"/>
              </w:rPr>
              <w:t>FDD 15 kHz + FDD 15 kHz</w:t>
            </w:r>
          </w:p>
        </w:tc>
        <w:tc>
          <w:tcPr>
            <w:tcW w:w="1487" w:type="dxa"/>
          </w:tcPr>
          <w:p w14:paraId="6E9E2C9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CA_C, CA_AX</w:t>
            </w:r>
          </w:p>
        </w:tc>
        <w:tc>
          <w:tcPr>
            <w:tcW w:w="2338" w:type="dxa"/>
            <w:shd w:val="clear" w:color="auto" w:fill="auto"/>
          </w:tcPr>
          <w:p w14:paraId="66CADF6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US" w:eastAsia="zh-CN" w:bidi="ar-SA"/>
              </w:rPr>
            </w:pPr>
            <w:r>
              <w:rPr>
                <w:rFonts w:hint="default" w:ascii="Times New Roman" w:hAnsi="Times New Roman" w:eastAsia="等线" w:cs="Times New Roman"/>
                <w:sz w:val="18"/>
                <w:lang w:val="en-GB" w:eastAsia="en-US" w:bidi="ar-SA"/>
              </w:rPr>
              <w:t xml:space="preserve">Table </w:t>
            </w:r>
            <w:r>
              <w:rPr>
                <w:rFonts w:hint="eastAsia" w:eastAsia="等线" w:cs="Times New Roman"/>
                <w:sz w:val="18"/>
                <w:lang w:val="en-US" w:eastAsia="zh-CN" w:bidi="ar-SA"/>
              </w:rPr>
              <w:t>TBD</w:t>
            </w:r>
          </w:p>
        </w:tc>
        <w:tc>
          <w:tcPr>
            <w:tcW w:w="2138" w:type="dxa"/>
            <w:shd w:val="clear" w:color="auto" w:fill="auto"/>
          </w:tcPr>
          <w:p w14:paraId="63CDEE6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1C0941A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Any of CCs</w:t>
            </w:r>
          </w:p>
        </w:tc>
      </w:tr>
      <w:tr w14:paraId="7A4C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auto"/>
          </w:tcPr>
          <w:p w14:paraId="7B90915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szCs w:val="24"/>
                <w:lang w:val="en-GB" w:eastAsia="zh-CN" w:bidi="ar-SA"/>
              </w:rPr>
            </w:pPr>
            <w:r>
              <w:rPr>
                <w:rFonts w:hint="default" w:ascii="Times New Roman" w:hAnsi="Times New Roman" w:eastAsia="等线" w:cs="Times New Roman"/>
                <w:sz w:val="18"/>
                <w:szCs w:val="24"/>
                <w:lang w:val="en-GB" w:eastAsia="zh-CN" w:bidi="ar-SA"/>
              </w:rPr>
              <w:t>TDD 30 kHz + TDD 30 kHz</w:t>
            </w:r>
          </w:p>
        </w:tc>
        <w:tc>
          <w:tcPr>
            <w:tcW w:w="1487" w:type="dxa"/>
          </w:tcPr>
          <w:p w14:paraId="4CA9D9A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CA_C, CA_AX</w:t>
            </w:r>
          </w:p>
        </w:tc>
        <w:tc>
          <w:tcPr>
            <w:tcW w:w="2338" w:type="dxa"/>
            <w:shd w:val="clear" w:color="auto" w:fill="auto"/>
          </w:tcPr>
          <w:p w14:paraId="2A8724F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US" w:eastAsia="zh-CN" w:bidi="ar-SA"/>
              </w:rPr>
            </w:pPr>
            <w:r>
              <w:rPr>
                <w:rFonts w:hint="default" w:ascii="Times New Roman" w:hAnsi="Times New Roman" w:eastAsia="等线" w:cs="Times New Roman"/>
                <w:sz w:val="18"/>
                <w:lang w:val="en-GB" w:eastAsia="en-US" w:bidi="ar-SA"/>
              </w:rPr>
              <w:t xml:space="preserve">Table </w:t>
            </w:r>
            <w:r>
              <w:rPr>
                <w:rFonts w:hint="eastAsia" w:eastAsia="等线" w:cs="Times New Roman"/>
                <w:sz w:val="18"/>
                <w:lang w:val="en-US" w:eastAsia="zh-CN" w:bidi="ar-SA"/>
              </w:rPr>
              <w:t>TBD</w:t>
            </w:r>
          </w:p>
        </w:tc>
        <w:tc>
          <w:tcPr>
            <w:tcW w:w="2138" w:type="dxa"/>
            <w:shd w:val="clear" w:color="auto" w:fill="auto"/>
          </w:tcPr>
          <w:p w14:paraId="6FED67A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2B81C33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Any of CCs</w:t>
            </w:r>
          </w:p>
        </w:tc>
      </w:tr>
      <w:tr w14:paraId="4677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auto"/>
          </w:tcPr>
          <w:p w14:paraId="28DB639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szCs w:val="24"/>
                <w:lang w:val="en-US" w:eastAsia="zh-CN" w:bidi="ar-SA"/>
              </w:rPr>
            </w:pPr>
            <w:r>
              <w:rPr>
                <w:rFonts w:hint="default" w:ascii="Times New Roman" w:hAnsi="Times New Roman" w:eastAsia="等线" w:cs="Times New Roman"/>
                <w:sz w:val="18"/>
                <w:szCs w:val="24"/>
                <w:lang w:val="en-GB" w:eastAsia="zh-CN" w:bidi="ar-SA"/>
              </w:rPr>
              <w:t>FDD 15 kHz + TDD 30 kH</w:t>
            </w:r>
            <w:r>
              <w:rPr>
                <w:rFonts w:hint="default" w:ascii="Times New Roman" w:hAnsi="Times New Roman" w:eastAsia="等线" w:cs="Times New Roman"/>
                <w:sz w:val="18"/>
                <w:szCs w:val="24"/>
                <w:lang w:val="en-US" w:eastAsia="zh-CN" w:bidi="ar-SA"/>
              </w:rPr>
              <w:t>z</w:t>
            </w:r>
          </w:p>
        </w:tc>
        <w:tc>
          <w:tcPr>
            <w:tcW w:w="1487" w:type="dxa"/>
          </w:tcPr>
          <w:p w14:paraId="07058A8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CA_AX</w:t>
            </w:r>
          </w:p>
        </w:tc>
        <w:tc>
          <w:tcPr>
            <w:tcW w:w="2338" w:type="dxa"/>
            <w:shd w:val="clear" w:color="auto" w:fill="auto"/>
          </w:tcPr>
          <w:p w14:paraId="5489CF7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US" w:eastAsia="zh-CN" w:bidi="ar-SA"/>
              </w:rPr>
            </w:pPr>
            <w:r>
              <w:rPr>
                <w:rFonts w:hint="default" w:ascii="Times New Roman" w:hAnsi="Times New Roman" w:eastAsia="等线" w:cs="Times New Roman"/>
                <w:sz w:val="18"/>
                <w:lang w:val="en-GB" w:eastAsia="en-US" w:bidi="ar-SA"/>
              </w:rPr>
              <w:t xml:space="preserve">Table </w:t>
            </w:r>
            <w:r>
              <w:rPr>
                <w:rFonts w:hint="eastAsia" w:eastAsia="等线" w:cs="Times New Roman"/>
                <w:sz w:val="18"/>
                <w:lang w:val="en-US" w:eastAsia="zh-CN" w:bidi="ar-SA"/>
              </w:rPr>
              <w:t>TBD</w:t>
            </w:r>
          </w:p>
        </w:tc>
        <w:tc>
          <w:tcPr>
            <w:tcW w:w="2138" w:type="dxa"/>
            <w:shd w:val="clear" w:color="auto" w:fill="auto"/>
          </w:tcPr>
          <w:p w14:paraId="49076A0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GB" w:eastAsia="en-US" w:bidi="ar-SA"/>
              </w:rPr>
              <w:t>Largest aggregated CA bandwidth combination</w:t>
            </w:r>
          </w:p>
        </w:tc>
        <w:tc>
          <w:tcPr>
            <w:tcW w:w="2065" w:type="dxa"/>
          </w:tcPr>
          <w:p w14:paraId="070A1CD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sz w:val="18"/>
                <w:lang w:val="en-GB" w:eastAsia="en-US" w:bidi="ar-SA"/>
              </w:rPr>
            </w:pPr>
            <w:r>
              <w:rPr>
                <w:rFonts w:hint="default" w:ascii="Times New Roman" w:hAnsi="Times New Roman" w:eastAsia="等线" w:cs="Times New Roman"/>
                <w:sz w:val="18"/>
                <w:lang w:val="en-US" w:eastAsia="zh-CN" w:bidi="ar-SA"/>
              </w:rPr>
              <w:t>F</w:t>
            </w:r>
            <w:r>
              <w:rPr>
                <w:rFonts w:hint="default" w:ascii="Times New Roman" w:hAnsi="Times New Roman" w:eastAsia="等线" w:cs="Times New Roman"/>
                <w:sz w:val="18"/>
                <w:lang w:val="en-GB" w:eastAsia="en-US" w:bidi="ar-SA"/>
              </w:rPr>
              <w:t xml:space="preserve">DD CC if supported, otherwise </w:t>
            </w:r>
            <w:r>
              <w:rPr>
                <w:rFonts w:hint="default" w:ascii="Times New Roman" w:hAnsi="Times New Roman" w:eastAsia="等线" w:cs="Times New Roman"/>
                <w:sz w:val="18"/>
                <w:lang w:val="en-US" w:eastAsia="zh-CN" w:bidi="ar-SA"/>
              </w:rPr>
              <w:t>T</w:t>
            </w:r>
            <w:r>
              <w:rPr>
                <w:rFonts w:hint="default" w:ascii="Times New Roman" w:hAnsi="Times New Roman" w:eastAsia="等线" w:cs="Times New Roman"/>
                <w:sz w:val="18"/>
                <w:lang w:val="en-GB" w:eastAsia="en-US" w:bidi="ar-SA"/>
              </w:rPr>
              <w:t>DD CC</w:t>
            </w:r>
          </w:p>
        </w:tc>
      </w:tr>
      <w:bookmarkEnd w:id="15"/>
    </w:tbl>
    <w:p w14:paraId="27BC2148">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addition, RAN4 shall introduce performance requirement for all bandwidth configuration for FDD 15kHz and TDD 30kHz, independent of CA configurations and bandwidth combination sets. </w:t>
      </w:r>
    </w:p>
    <w:p w14:paraId="5F7C7340">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bookmarkStart w:id="16" w:name="OLE_LINK45"/>
      <w:r>
        <w:rPr>
          <w:rFonts w:hint="eastAsia" w:ascii="Times New Roman" w:hAnsi="Times New Roman" w:cs="Times New Roman"/>
          <w:b/>
          <w:bCs/>
          <w:i/>
          <w:iCs/>
          <w:sz w:val="20"/>
          <w:szCs w:val="20"/>
          <w:lang w:val="en-US" w:eastAsia="zh-CN"/>
        </w:rPr>
        <w:t>Proposal 1: RAN4 shall introduce performance requirement for all bandwidth configuration for FDD 15kHz and TDD 30kHz.</w:t>
      </w:r>
    </w:p>
    <w:p w14:paraId="12F4712D">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Define the CA configuration selection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200C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2C75557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07F7821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6AFBB3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2637DC6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76D6D14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4DAE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32E68DB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FAC499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3F179A7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0855275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59921D5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7170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4DFAEF1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2345711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3F5857D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1F67091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largest number of bands and with the maximum number of CCs, for which the supported maximum number of MIMO layers is not lower than 2.</w:t>
            </w:r>
          </w:p>
        </w:tc>
        <w:tc>
          <w:tcPr>
            <w:tcW w:w="2008" w:type="dxa"/>
            <w:vAlign w:val="top"/>
          </w:tcPr>
          <w:p w14:paraId="47CEC61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769A72D0">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36BD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7B26F8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Tests</w:t>
            </w:r>
          </w:p>
        </w:tc>
        <w:tc>
          <w:tcPr>
            <w:tcW w:w="1487" w:type="dxa"/>
          </w:tcPr>
          <w:p w14:paraId="3634721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 xml:space="preserve">CA capability where the tests </w:t>
            </w:r>
            <w:r>
              <w:rPr>
                <w:rFonts w:hint="default" w:ascii="Times New Roman" w:hAnsi="Times New Roman" w:eastAsia="等线" w:cs="Times New Roman"/>
                <w:b/>
                <w:bCs/>
                <w:i/>
                <w:iCs/>
                <w:sz w:val="18"/>
                <w:lang w:val="en-GB" w:eastAsia="zh-CN" w:bidi="ar-SA"/>
              </w:rPr>
              <w:t>apply</w:t>
            </w:r>
          </w:p>
        </w:tc>
        <w:tc>
          <w:tcPr>
            <w:tcW w:w="2338" w:type="dxa"/>
            <w:shd w:val="clear" w:color="auto" w:fill="auto"/>
          </w:tcPr>
          <w:p w14:paraId="566CDDC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 configuration</w:t>
            </w:r>
            <w:r>
              <w:rPr>
                <w:rFonts w:hint="default" w:ascii="Times New Roman" w:hAnsi="Times New Roman" w:eastAsia="等线" w:cs="Times New Roman"/>
                <w:b/>
                <w:bCs/>
                <w:i/>
                <w:iCs/>
                <w:sz w:val="18"/>
                <w:lang w:val="en-GB" w:eastAsia="zh-CN" w:bidi="ar-SA"/>
              </w:rPr>
              <w:t xml:space="preserve"> from the selected CA capability</w:t>
            </w:r>
            <w:r>
              <w:rPr>
                <w:rFonts w:hint="default" w:ascii="Times New Roman" w:hAnsi="Times New Roman" w:eastAsia="等线" w:cs="Times New Roman"/>
                <w:b/>
                <w:bCs/>
                <w:i/>
                <w:iCs/>
                <w:sz w:val="18"/>
                <w:lang w:val="en-GB" w:eastAsia="en-US" w:bidi="ar-SA"/>
              </w:rPr>
              <w:t xml:space="preserve"> where the tests </w:t>
            </w:r>
            <w:r>
              <w:rPr>
                <w:rFonts w:hint="default" w:ascii="Times New Roman" w:hAnsi="Times New Roman" w:eastAsia="等线" w:cs="Times New Roman"/>
                <w:b/>
                <w:bCs/>
                <w:i/>
                <w:iCs/>
                <w:sz w:val="18"/>
                <w:lang w:val="en-GB" w:eastAsia="zh-CN" w:bidi="ar-SA"/>
              </w:rPr>
              <w:t>apply</w:t>
            </w:r>
          </w:p>
        </w:tc>
        <w:tc>
          <w:tcPr>
            <w:tcW w:w="2138" w:type="dxa"/>
            <w:shd w:val="clear" w:color="auto" w:fill="auto"/>
          </w:tcPr>
          <w:p w14:paraId="5831AC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CA B</w:t>
            </w:r>
            <w:r>
              <w:rPr>
                <w:rFonts w:hint="default" w:ascii="Times New Roman" w:hAnsi="Times New Roman" w:eastAsia="等线" w:cs="Times New Roman"/>
                <w:b/>
                <w:bCs/>
                <w:i/>
                <w:iCs/>
                <w:sz w:val="18"/>
                <w:lang w:val="en-GB" w:eastAsia="en-US" w:bidi="ar-SA"/>
              </w:rPr>
              <w:t xml:space="preserve">andwidth combination to be tested in </w:t>
            </w:r>
            <w:r>
              <w:rPr>
                <w:rFonts w:hint="default" w:ascii="Times New Roman" w:hAnsi="Times New Roman" w:eastAsia="等线" w:cs="Times New Roman"/>
                <w:b/>
                <w:bCs/>
                <w:i/>
                <w:iCs/>
                <w:sz w:val="18"/>
                <w:lang w:val="en-GB" w:eastAsia="zh-CN" w:bidi="ar-SA"/>
              </w:rPr>
              <w:t xml:space="preserve">priority </w:t>
            </w:r>
            <w:r>
              <w:rPr>
                <w:rFonts w:hint="default" w:ascii="Times New Roman" w:hAnsi="Times New Roman" w:eastAsia="等线" w:cs="Times New Roman"/>
                <w:b/>
                <w:bCs/>
                <w:i/>
                <w:iCs/>
                <w:sz w:val="18"/>
                <w:lang w:val="en-GB" w:eastAsia="en-US" w:bidi="ar-SA"/>
              </w:rPr>
              <w:t>order</w:t>
            </w:r>
          </w:p>
        </w:tc>
        <w:tc>
          <w:tcPr>
            <w:tcW w:w="2065" w:type="dxa"/>
          </w:tcPr>
          <w:p w14:paraId="221B69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PCell CC configuration</w:t>
            </w:r>
          </w:p>
        </w:tc>
      </w:tr>
      <w:tr w14:paraId="3615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7B555DD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FDD 15 kHz + FDD 15 kHz</w:t>
            </w:r>
          </w:p>
        </w:tc>
        <w:tc>
          <w:tcPr>
            <w:tcW w:w="1487" w:type="dxa"/>
          </w:tcPr>
          <w:p w14:paraId="43C1655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7B39797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6ECFC7C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4CCFC96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22C2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5FF1E1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TDD 30 kHz + TDD 30 kHz</w:t>
            </w:r>
          </w:p>
        </w:tc>
        <w:tc>
          <w:tcPr>
            <w:tcW w:w="1487" w:type="dxa"/>
          </w:tcPr>
          <w:p w14:paraId="571423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5F15DE4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626A31E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44299C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2D48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D5EC3A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US" w:eastAsia="zh-CN" w:bidi="ar-SA"/>
              </w:rPr>
            </w:pPr>
            <w:r>
              <w:rPr>
                <w:rFonts w:hint="default" w:ascii="Times New Roman" w:hAnsi="Times New Roman" w:eastAsia="等线" w:cs="Times New Roman"/>
                <w:b/>
                <w:bCs/>
                <w:i/>
                <w:iCs/>
                <w:sz w:val="18"/>
                <w:szCs w:val="24"/>
                <w:lang w:val="en-GB" w:eastAsia="zh-CN" w:bidi="ar-SA"/>
              </w:rPr>
              <w:t>FDD 15 kHz + TDD 30 kH</w:t>
            </w:r>
            <w:r>
              <w:rPr>
                <w:rFonts w:hint="default" w:ascii="Times New Roman" w:hAnsi="Times New Roman" w:eastAsia="等线" w:cs="Times New Roman"/>
                <w:b/>
                <w:bCs/>
                <w:i/>
                <w:iCs/>
                <w:sz w:val="18"/>
                <w:szCs w:val="24"/>
                <w:lang w:val="en-US" w:eastAsia="zh-CN" w:bidi="ar-SA"/>
              </w:rPr>
              <w:t>z</w:t>
            </w:r>
          </w:p>
        </w:tc>
        <w:tc>
          <w:tcPr>
            <w:tcW w:w="1487" w:type="dxa"/>
          </w:tcPr>
          <w:p w14:paraId="247E20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CA_AX</w:t>
            </w:r>
          </w:p>
        </w:tc>
        <w:tc>
          <w:tcPr>
            <w:tcW w:w="2338" w:type="dxa"/>
            <w:shd w:val="clear" w:color="auto" w:fill="auto"/>
            <w:vAlign w:val="top"/>
          </w:tcPr>
          <w:p w14:paraId="36F651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72571D5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6C8C6B1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US" w:eastAsia="zh-CN" w:bidi="ar-SA"/>
              </w:rPr>
              <w:t>F</w:t>
            </w:r>
            <w:r>
              <w:rPr>
                <w:rFonts w:hint="default" w:ascii="Times New Roman" w:hAnsi="Times New Roman" w:eastAsia="等线" w:cs="Times New Roman"/>
                <w:b/>
                <w:bCs/>
                <w:i/>
                <w:iCs/>
                <w:sz w:val="18"/>
                <w:lang w:val="en-GB" w:eastAsia="en-US" w:bidi="ar-SA"/>
              </w:rPr>
              <w:t xml:space="preserve">DD CC if supported, otherwise </w:t>
            </w:r>
            <w:r>
              <w:rPr>
                <w:rFonts w:hint="default" w:ascii="Times New Roman" w:hAnsi="Times New Roman" w:eastAsia="等线" w:cs="Times New Roman"/>
                <w:b/>
                <w:bCs/>
                <w:i/>
                <w:iCs/>
                <w:sz w:val="18"/>
                <w:lang w:val="en-US" w:eastAsia="zh-CN" w:bidi="ar-SA"/>
              </w:rPr>
              <w:t>T</w:t>
            </w:r>
            <w:r>
              <w:rPr>
                <w:rFonts w:hint="default" w:ascii="Times New Roman" w:hAnsi="Times New Roman" w:eastAsia="等线" w:cs="Times New Roman"/>
                <w:b/>
                <w:bCs/>
                <w:i/>
                <w:iCs/>
                <w:sz w:val="18"/>
                <w:lang w:val="en-GB" w:eastAsia="en-US" w:bidi="ar-SA"/>
              </w:rPr>
              <w:t>DD CC</w:t>
            </w:r>
          </w:p>
        </w:tc>
      </w:tr>
      <w:bookmarkEnd w:id="16"/>
    </w:tbl>
    <w:p w14:paraId="3DB7ED05">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cs="Times New Roman"/>
          <w:b w:val="0"/>
          <w:bCs w:val="0"/>
          <w:kern w:val="0"/>
          <w:sz w:val="28"/>
          <w:szCs w:val="28"/>
          <w:lang w:val="en-US" w:eastAsia="zh-CN"/>
        </w:rPr>
      </w:pPr>
      <w:r>
        <w:rPr>
          <w:rFonts w:hint="eastAsia" w:ascii="Times New Roman" w:hAnsi="Times New Roman" w:cs="Times New Roman"/>
          <w:b w:val="0"/>
          <w:bCs w:val="0"/>
          <w:kern w:val="0"/>
          <w:sz w:val="28"/>
          <w:szCs w:val="28"/>
          <w:lang w:val="en-US" w:eastAsia="zh-CN"/>
        </w:rPr>
        <w:t>Test setup</w:t>
      </w:r>
    </w:p>
    <w:p w14:paraId="185DF8A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宋体" w:cs="Times New Roman"/>
          <w:b/>
          <w:sz w:val="20"/>
          <w:szCs w:val="20"/>
          <w:u w:val="single"/>
          <w:lang w:val="en-US" w:eastAsia="zh-CN"/>
        </w:rPr>
      </w:pPr>
      <w:r>
        <w:rPr>
          <w:rFonts w:hint="eastAsia" w:ascii="Times New Roman" w:hAnsi="Times New Roman" w:eastAsia="宋体" w:cs="Times New Roman"/>
          <w:b/>
          <w:sz w:val="20"/>
          <w:szCs w:val="20"/>
          <w:u w:val="single"/>
          <w:lang w:val="en-US" w:eastAsia="zh-CN"/>
        </w:rPr>
        <w:t>TDD pattern</w:t>
      </w:r>
    </w:p>
    <w:p w14:paraId="29CAA1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bookmarkStart w:id="17" w:name="OLE_LINK4"/>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 for both FDD and TDD.</w:t>
      </w:r>
    </w:p>
    <w:p w14:paraId="741582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bookmarkStart w:id="18" w:name="OLE_LINK46"/>
      <w:r>
        <w:rPr>
          <w:rFonts w:hint="eastAsia" w:ascii="Times New Roman" w:hAnsi="Times New Roman" w:cs="Times New Roman"/>
          <w:b/>
          <w:bCs/>
          <w:i/>
          <w:iCs/>
          <w:sz w:val="20"/>
          <w:szCs w:val="20"/>
          <w:lang w:val="en-US" w:eastAsia="zh-CN"/>
        </w:rPr>
        <w:t>Proposal 4: Use legacy TDD pattern for both FDD and TDD.</w:t>
      </w:r>
    </w:p>
    <w:bookmarkEnd w:id="17"/>
    <w:bookmarkEnd w:id="18"/>
    <w:p w14:paraId="0DCF703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sz w:val="20"/>
          <w:szCs w:val="20"/>
          <w:u w:val="single"/>
          <w:lang w:val="en-US" w:eastAsia="zh-CN"/>
        </w:rPr>
      </w:pPr>
    </w:p>
    <w:p w14:paraId="2A411532">
      <w:pPr>
        <w:keepNext w:val="0"/>
        <w:keepLines w:val="0"/>
        <w:pageBreakBefore w:val="0"/>
        <w:widowControl/>
        <w:kinsoku/>
        <w:wordWrap/>
        <w:overflowPunct/>
        <w:topLinePunct w:val="0"/>
        <w:autoSpaceDE/>
        <w:autoSpaceDN/>
        <w:bidi w:val="0"/>
        <w:adjustRightInd/>
        <w:snapToGrid/>
        <w:spacing w:before="60" w:after="60"/>
        <w:textAlignment w:val="auto"/>
        <w:rPr>
          <w:b/>
          <w:sz w:val="21"/>
          <w:szCs w:val="21"/>
          <w:u w:val="single"/>
          <w:lang w:eastAsia="ko-KR"/>
        </w:rPr>
      </w:pPr>
      <w:bookmarkStart w:id="19" w:name="OLE_LINK44"/>
      <w:r>
        <w:rPr>
          <w:b/>
          <w:sz w:val="21"/>
          <w:szCs w:val="21"/>
          <w:u w:val="single"/>
          <w:lang w:eastAsia="ko-KR"/>
        </w:rPr>
        <w:t>MCS&amp;Rank</w:t>
      </w:r>
    </w:p>
    <w:bookmarkEnd w:id="19"/>
    <w:p w14:paraId="5C9B87C8">
      <w:pPr>
        <w:keepNext w:val="0"/>
        <w:keepLines w:val="0"/>
        <w:pageBreakBefore w:val="0"/>
        <w:widowControl/>
        <w:tabs>
          <w:tab w:val="left" w:pos="1134"/>
        </w:tabs>
        <w:kinsoku/>
        <w:wordWrap/>
        <w:overflowPunct/>
        <w:topLinePunct w:val="0"/>
        <w:autoSpaceDE/>
        <w:autoSpaceDN/>
        <w:bidi w:val="0"/>
        <w:adjustRightInd/>
        <w:snapToGrid/>
        <w:spacing w:before="60" w:after="60" w:line="240" w:lineRule="exact"/>
        <w:jc w:val="both"/>
        <w:textAlignment w:val="auto"/>
        <w:rPr>
          <w:rFonts w:hint="eastAsia" w:cs="Times New Roman"/>
          <w:sz w:val="20"/>
          <w:szCs w:val="20"/>
          <w:lang w:val="en-US" w:eastAsia="zh-CN"/>
        </w:rPr>
      </w:pPr>
      <w:r>
        <w:rPr>
          <w:rFonts w:hint="eastAsia" w:cs="Times New Roman"/>
          <w:sz w:val="20"/>
          <w:szCs w:val="20"/>
          <w:lang w:val="en-US" w:eastAsia="zh-CN"/>
        </w:rPr>
        <w:t>Since MIMO can be supported in Rel-19, and only conducted test will be applied for ATG UE, which means the UE antenna type is transparent in the test, we think the Rank 2 can be used for defining the CA requirement.</w:t>
      </w:r>
    </w:p>
    <w:p w14:paraId="6AB45EDB">
      <w:pPr>
        <w:keepNext w:val="0"/>
        <w:keepLines w:val="0"/>
        <w:pageBreakBefore w:val="0"/>
        <w:widowControl/>
        <w:tabs>
          <w:tab w:val="left" w:pos="1134"/>
        </w:tabs>
        <w:kinsoku/>
        <w:wordWrap/>
        <w:overflowPunct/>
        <w:topLinePunct w:val="0"/>
        <w:autoSpaceDE/>
        <w:autoSpaceDN/>
        <w:bidi w:val="0"/>
        <w:adjustRightInd/>
        <w:snapToGrid/>
        <w:spacing w:before="60" w:after="60" w:line="240" w:lineRule="exact"/>
        <w:jc w:val="both"/>
        <w:textAlignment w:val="auto"/>
        <w:rPr>
          <w:rFonts w:hint="default" w:cs="Times New Roman"/>
          <w:sz w:val="20"/>
          <w:szCs w:val="20"/>
          <w:lang w:val="en-US" w:eastAsia="zh-CN"/>
        </w:rPr>
      </w:pPr>
      <w:r>
        <w:rPr>
          <w:rFonts w:hint="eastAsia" w:cs="Times New Roman"/>
          <w:sz w:val="20"/>
          <w:szCs w:val="20"/>
          <w:lang w:val="en-US" w:eastAsia="zh-CN"/>
        </w:rPr>
        <w:t xml:space="preserve">As for the MCS, we propose to use </w:t>
      </w:r>
      <w:bookmarkStart w:id="20" w:name="OLE_LINK43"/>
      <w:r>
        <w:rPr>
          <w:rFonts w:hint="eastAsia" w:cs="Times New Roman"/>
          <w:sz w:val="20"/>
          <w:szCs w:val="20"/>
          <w:lang w:val="en-US" w:eastAsia="zh-CN"/>
        </w:rPr>
        <w:t xml:space="preserve">16QAM MCS 13 and </w:t>
      </w:r>
      <w:r>
        <w:rPr>
          <w:rFonts w:hint="eastAsia" w:ascii="Times New Roman" w:hAnsi="Times New Roman" w:cs="Times New Roman"/>
          <w:sz w:val="20"/>
          <w:szCs w:val="20"/>
          <w:lang w:val="en-US" w:eastAsia="zh-CN"/>
        </w:rPr>
        <w:t xml:space="preserve">64QAM MCS 22 </w:t>
      </w:r>
      <w:r>
        <w:rPr>
          <w:rFonts w:hint="eastAsia" w:cs="Times New Roman"/>
          <w:sz w:val="20"/>
          <w:szCs w:val="20"/>
          <w:lang w:val="en-US" w:eastAsia="zh-CN"/>
        </w:rPr>
        <w:t>for initial simulation.</w:t>
      </w:r>
      <w:bookmarkEnd w:id="20"/>
    </w:p>
    <w:p w14:paraId="0168B73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21" w:name="OLE_LINK47"/>
      <w:r>
        <w:rPr>
          <w:rFonts w:hint="eastAsia" w:ascii="Times New Roman" w:hAnsi="Times New Roman" w:cs="Times New Roman"/>
          <w:b/>
          <w:bCs/>
          <w:i/>
          <w:iCs/>
          <w:sz w:val="20"/>
          <w:szCs w:val="20"/>
          <w:lang w:val="en-US" w:eastAsia="zh-CN"/>
        </w:rPr>
        <w:t xml:space="preserve">Proposal 5: </w:t>
      </w:r>
      <w:r>
        <w:rPr>
          <w:rFonts w:hint="eastAsia" w:cs="Times New Roman"/>
          <w:b/>
          <w:bCs/>
          <w:i/>
          <w:iCs/>
          <w:sz w:val="20"/>
          <w:szCs w:val="20"/>
          <w:lang w:val="en-US" w:eastAsia="zh-CN"/>
        </w:rPr>
        <w:t xml:space="preserve">For </w:t>
      </w:r>
      <w:bookmarkStart w:id="22" w:name="OLE_LINK42"/>
      <w:r>
        <w:rPr>
          <w:rFonts w:hint="eastAsia" w:cs="Times New Roman"/>
          <w:b/>
          <w:bCs/>
          <w:i/>
          <w:iCs/>
          <w:sz w:val="20"/>
          <w:szCs w:val="20"/>
          <w:lang w:val="en-US" w:eastAsia="zh-CN"/>
        </w:rPr>
        <w:t>CA requirement,</w:t>
      </w:r>
      <w:bookmarkEnd w:id="22"/>
      <w:r>
        <w:rPr>
          <w:rFonts w:hint="eastAsia" w:cs="Times New Roman"/>
          <w:b/>
          <w:bCs/>
          <w:i/>
          <w:iCs/>
          <w:sz w:val="20"/>
          <w:szCs w:val="20"/>
          <w:lang w:val="en-US" w:eastAsia="zh-CN"/>
        </w:rPr>
        <w:t xml:space="preserve"> u</w:t>
      </w:r>
      <w:r>
        <w:rPr>
          <w:rFonts w:hint="eastAsia" w:ascii="Times New Roman" w:hAnsi="Times New Roman" w:cs="Times New Roman"/>
          <w:b/>
          <w:bCs/>
          <w:i/>
          <w:iCs/>
          <w:sz w:val="20"/>
          <w:szCs w:val="20"/>
          <w:lang w:val="en-US" w:eastAsia="zh-CN"/>
        </w:rPr>
        <w:t xml:space="preserve">se Rank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as the starting point.</w:t>
      </w:r>
    </w:p>
    <w:p w14:paraId="5B7623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Proposal 6: For CA requirement, use 16QAM MCS 13 and 64QAM MCS 22 for initial simulation.</w:t>
      </w:r>
    </w:p>
    <w:bookmarkEnd w:id="21"/>
    <w:p w14:paraId="258672B2">
      <w:pPr>
        <w:keepNext w:val="0"/>
        <w:keepLines w:val="0"/>
        <w:pageBreakBefore w:val="0"/>
        <w:widowControl/>
        <w:kinsoku/>
        <w:wordWrap/>
        <w:overflowPunct/>
        <w:topLinePunct w:val="0"/>
        <w:autoSpaceDE/>
        <w:autoSpaceDN/>
        <w:bidi w:val="0"/>
        <w:adjustRightInd/>
        <w:snapToGrid/>
        <w:spacing w:before="60" w:after="60"/>
        <w:textAlignment w:val="auto"/>
        <w:rPr>
          <w:b/>
          <w:sz w:val="21"/>
          <w:szCs w:val="21"/>
          <w:u w:val="single"/>
          <w:lang w:eastAsia="ko-KR"/>
        </w:rPr>
      </w:pPr>
    </w:p>
    <w:p w14:paraId="5D1C34DD">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1"/>
          <w:szCs w:val="21"/>
          <w:u w:val="single"/>
          <w:lang w:val="en-US" w:eastAsia="ko-KR"/>
        </w:rPr>
      </w:pPr>
      <w:r>
        <w:rPr>
          <w:rFonts w:hint="eastAsia"/>
          <w:b/>
          <w:sz w:val="21"/>
          <w:szCs w:val="21"/>
          <w:u w:val="single"/>
          <w:lang w:val="en-US" w:eastAsia="zh-CN"/>
        </w:rPr>
        <w:t>Others</w:t>
      </w:r>
    </w:p>
    <w:p w14:paraId="74C23505">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eastAsia" w:eastAsia="宋体" w:cs="Times New Roman"/>
          <w:color w:val="auto"/>
          <w:sz w:val="20"/>
          <w:szCs w:val="20"/>
          <w:lang w:val="en-US" w:eastAsia="zh-CN"/>
        </w:rPr>
        <w:t>In addition, we think following test setups agreed in R18 can be reused for the new test cases which introduced in R19.</w:t>
      </w:r>
    </w:p>
    <w:p w14:paraId="2730E9E7">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Channel model: AWGN+220Hz for FDD 15kHz，AWGN+500Hz for TDD 30kHz</w:t>
      </w:r>
    </w:p>
    <w:p w14:paraId="03FA2080">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Antenna configuration: 2T2R and 2T4R</w:t>
      </w:r>
    </w:p>
    <w:p w14:paraId="569C5D2C">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ko-KR"/>
        </w:rPr>
        <w:t>Test metric</w:t>
      </w:r>
      <w:r>
        <w:rPr>
          <w:rFonts w:hint="eastAsia" w:ascii="Times New Roman" w:hAnsi="Times New Roman" w:eastAsia="宋体" w:cs="Times New Roman"/>
          <w:color w:val="auto"/>
          <w:sz w:val="20"/>
          <w:szCs w:val="20"/>
          <w:lang w:val="en-US" w:eastAsia="zh-CN"/>
        </w:rPr>
        <w:t>:  70% of max TP</w:t>
      </w:r>
    </w:p>
    <w:p w14:paraId="65085100">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Receiver: MMSE-IRC</w:t>
      </w:r>
    </w:p>
    <w:p w14:paraId="415A2953">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For the other test parameters, we think the configuration in Table 5.2A-1/2/3 in TS 38.101-4 can be reused.</w:t>
      </w:r>
    </w:p>
    <w:p w14:paraId="5F6649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b/>
          <w:bCs/>
          <w:i/>
          <w:iCs/>
          <w:color w:val="auto"/>
          <w:sz w:val="20"/>
          <w:szCs w:val="20"/>
          <w:lang w:val="en-US" w:eastAsia="zh-CN"/>
        </w:rPr>
      </w:pPr>
      <w:bookmarkStart w:id="23" w:name="OLE_LINK48"/>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F</w:t>
      </w:r>
      <w:r>
        <w:rPr>
          <w:rFonts w:hint="eastAsia" w:eastAsia="宋体" w:cs="Times New Roman"/>
          <w:b/>
          <w:bCs/>
          <w:i/>
          <w:iCs/>
          <w:color w:val="auto"/>
          <w:sz w:val="20"/>
          <w:szCs w:val="20"/>
          <w:lang w:val="en-US" w:eastAsia="zh-CN"/>
        </w:rPr>
        <w:t>ollowing test setups agreed in R18 can be reused:</w:t>
      </w:r>
    </w:p>
    <w:p w14:paraId="1B974F76">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Channel model: AWGN+220Hz for FDD 15kHz，AWGN+500Hz for TDD 30kHz</w:t>
      </w:r>
    </w:p>
    <w:p w14:paraId="24389169">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Antenna configuration: 2T2R and 2T4R</w:t>
      </w:r>
    </w:p>
    <w:p w14:paraId="752D7233">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ko-KR"/>
        </w:rPr>
        <w:t>Test metric</w:t>
      </w:r>
      <w:r>
        <w:rPr>
          <w:rFonts w:hint="eastAsia" w:ascii="Times New Roman" w:hAnsi="Times New Roman" w:eastAsia="宋体" w:cs="Times New Roman"/>
          <w:b/>
          <w:bCs/>
          <w:i/>
          <w:iCs/>
          <w:color w:val="auto"/>
          <w:sz w:val="20"/>
          <w:szCs w:val="20"/>
          <w:lang w:val="en-US" w:eastAsia="zh-CN"/>
        </w:rPr>
        <w:t>:  70% of max TP</w:t>
      </w:r>
    </w:p>
    <w:p w14:paraId="468A64D6">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Receiver: MMSE-IRC</w:t>
      </w:r>
    </w:p>
    <w:p w14:paraId="3779BBB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bookmarkStart w:id="24" w:name="OLE_LINK3"/>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8</w:t>
      </w:r>
      <w:r>
        <w:rPr>
          <w:rFonts w:hint="eastAsia" w:ascii="Times New Roman" w:hAnsi="Times New Roman" w:cs="Times New Roman"/>
          <w:b/>
          <w:bCs/>
          <w:i/>
          <w:iCs/>
          <w:sz w:val="20"/>
          <w:szCs w:val="20"/>
          <w:lang w:val="en-US" w:eastAsia="zh-CN"/>
        </w:rPr>
        <w:t>: For the other test parameters, the configuration in Table 5.2A-1/2/3 in TS 38.101-4 can be reused.</w:t>
      </w:r>
    </w:p>
    <w:bookmarkEnd w:id="23"/>
    <w:bookmarkEnd w:id="24"/>
    <w:p w14:paraId="6703CA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p>
    <w:p w14:paraId="7500C537">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rPr>
      </w:pPr>
      <w:bookmarkStart w:id="25" w:name="OLE_LINK11"/>
      <w:r>
        <w:rPr>
          <w:rFonts w:hint="eastAsia" w:ascii="Times New Roman" w:hAnsi="Times New Roman"/>
          <w:b w:val="0"/>
          <w:bCs w:val="0"/>
          <w:kern w:val="0"/>
          <w:sz w:val="36"/>
          <w:szCs w:val="36"/>
          <w:lang w:val="en-US" w:eastAsia="zh-CN"/>
        </w:rPr>
        <w:t>DL MIMO related UE demodulation requirement</w:t>
      </w:r>
    </w:p>
    <w:bookmarkEnd w:id="25"/>
    <w:p w14:paraId="05E60CA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Antenna configuration</w:t>
      </w:r>
    </w:p>
    <w:p w14:paraId="2B17036B">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2T2R and 2T4R configuration from Rel-18 can be reused.</w:t>
      </w:r>
    </w:p>
    <w:p w14:paraId="6B40FBA9">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In addition, d</w:t>
      </w:r>
      <w:r>
        <w:rPr>
          <w:rFonts w:hint="eastAsia" w:ascii="Times New Roman" w:hAnsi="Times New Roman" w:eastAsia="宋体" w:cs="Times New Roman"/>
          <w:color w:val="auto"/>
          <w:sz w:val="20"/>
          <w:szCs w:val="20"/>
          <w:lang w:val="en-US" w:eastAsia="zh-CN"/>
        </w:rPr>
        <w:t xml:space="preserve">ue to AWGN channel model is assumed in ATG scenario, the cross polarized antenna </w:t>
      </w:r>
      <w:r>
        <w:rPr>
          <w:rFonts w:hint="eastAsia" w:eastAsia="宋体" w:cs="Times New Roman"/>
          <w:color w:val="auto"/>
          <w:sz w:val="20"/>
          <w:szCs w:val="20"/>
          <w:lang w:val="en-US" w:eastAsia="zh-CN"/>
        </w:rPr>
        <w:t>configuration is necessary</w:t>
      </w:r>
      <w:r>
        <w:rPr>
          <w:rFonts w:hint="eastAsia" w:ascii="Times New Roman" w:hAnsi="Times New Roman" w:eastAsia="宋体" w:cs="Times New Roman"/>
          <w:color w:val="auto"/>
          <w:sz w:val="20"/>
          <w:szCs w:val="20"/>
          <w:lang w:val="en-US" w:eastAsia="zh-CN"/>
        </w:rPr>
        <w:t xml:space="preserve"> to achieve </w:t>
      </w:r>
      <w:r>
        <w:rPr>
          <w:rFonts w:hint="eastAsia" w:eastAsia="宋体" w:cs="Times New Roman"/>
          <w:color w:val="auto"/>
          <w:sz w:val="20"/>
          <w:szCs w:val="20"/>
          <w:lang w:val="en-US" w:eastAsia="zh-CN"/>
        </w:rPr>
        <w:t>2</w:t>
      </w:r>
      <w:r>
        <w:rPr>
          <w:rFonts w:hint="eastAsia" w:ascii="Times New Roman" w:hAnsi="Times New Roman" w:eastAsia="宋体" w:cs="Times New Roman"/>
          <w:color w:val="auto"/>
          <w:sz w:val="20"/>
          <w:szCs w:val="20"/>
          <w:lang w:val="en-US" w:eastAsia="zh-CN"/>
        </w:rPr>
        <w:t xml:space="preserve"> MIMO layer</w:t>
      </w:r>
      <w:r>
        <w:rPr>
          <w:rFonts w:hint="eastAsia" w:eastAsia="宋体" w:cs="Times New Roman"/>
          <w:color w:val="auto"/>
          <w:sz w:val="20"/>
          <w:szCs w:val="20"/>
          <w:lang w:val="en-US" w:eastAsia="zh-CN"/>
        </w:rPr>
        <w:t xml:space="preserve">. </w:t>
      </w:r>
      <w:bookmarkStart w:id="26" w:name="OLE_LINK17"/>
      <w:r>
        <w:rPr>
          <w:rFonts w:hint="eastAsia" w:eastAsia="宋体" w:cs="Times New Roman"/>
          <w:color w:val="auto"/>
          <w:sz w:val="20"/>
          <w:szCs w:val="20"/>
          <w:lang w:val="en-US" w:eastAsia="zh-CN"/>
        </w:rPr>
        <w:t>We think the low correlation can be taken as the starting point</w:t>
      </w:r>
      <w:bookmarkEnd w:id="26"/>
      <w:r>
        <w:rPr>
          <w:rFonts w:hint="eastAsia" w:eastAsia="宋体" w:cs="Times New Roman"/>
          <w:color w:val="auto"/>
          <w:sz w:val="20"/>
          <w:szCs w:val="20"/>
          <w:lang w:val="en-US" w:eastAsia="zh-CN"/>
        </w:rPr>
        <w:t>.</w:t>
      </w:r>
    </w:p>
    <w:p w14:paraId="19AFC8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27" w:name="OLE_LINK49"/>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9</w:t>
      </w:r>
      <w:r>
        <w:rPr>
          <w:rFonts w:hint="eastAsia" w:ascii="Times New Roman" w:hAnsi="Times New Roman" w:cs="Times New Roman"/>
          <w:b/>
          <w:bCs/>
          <w:i/>
          <w:iCs/>
          <w:sz w:val="20"/>
          <w:szCs w:val="20"/>
          <w:lang w:val="en-US" w:eastAsia="zh-CN"/>
        </w:rPr>
        <w:t xml:space="preserve">: </w:t>
      </w:r>
      <w:bookmarkStart w:id="28" w:name="OLE_LINK18"/>
      <w:r>
        <w:rPr>
          <w:rFonts w:hint="eastAsia" w:cs="Times New Roman"/>
          <w:b/>
          <w:bCs/>
          <w:i/>
          <w:iCs/>
          <w:sz w:val="20"/>
          <w:szCs w:val="20"/>
          <w:lang w:val="en-US" w:eastAsia="zh-CN"/>
        </w:rPr>
        <w:t>2T2R and 2T4R with X-pol low can be the baseline.</w:t>
      </w:r>
      <w:bookmarkEnd w:id="28"/>
    </w:p>
    <w:bookmarkEnd w:id="27"/>
    <w:p w14:paraId="59FC94FD">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b w:val="0"/>
          <w:bCs w:val="0"/>
          <w:kern w:val="0"/>
          <w:sz w:val="20"/>
          <w:szCs w:val="20"/>
          <w:lang w:val="en-US" w:eastAsia="zh-CN"/>
        </w:rPr>
      </w:pPr>
    </w:p>
    <w:p w14:paraId="21E967C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TDD pattern</w:t>
      </w:r>
    </w:p>
    <w:p w14:paraId="4F7A85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bookmarkStart w:id="29" w:name="OLE_LINK5"/>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 for both FDD and TDD.</w:t>
      </w:r>
    </w:p>
    <w:p w14:paraId="3FD983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bookmarkStart w:id="30" w:name="OLE_LINK6"/>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10</w:t>
      </w:r>
      <w:r>
        <w:rPr>
          <w:rFonts w:hint="eastAsia" w:ascii="Times New Roman" w:hAnsi="Times New Roman" w:cs="Times New Roman"/>
          <w:b/>
          <w:bCs/>
          <w:i/>
          <w:iCs/>
          <w:sz w:val="20"/>
          <w:szCs w:val="20"/>
          <w:lang w:val="en-US" w:eastAsia="zh-CN"/>
        </w:rPr>
        <w:t>: Use legacy TDD pattern for both FDD and TDD.</w:t>
      </w:r>
    </w:p>
    <w:bookmarkEnd w:id="29"/>
    <w:bookmarkEnd w:id="30"/>
    <w:p w14:paraId="18CF737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val="0"/>
          <w:kern w:val="0"/>
          <w:sz w:val="20"/>
          <w:szCs w:val="20"/>
          <w:lang w:val="en-US" w:eastAsia="zh-CN"/>
        </w:rPr>
      </w:pPr>
    </w:p>
    <w:p w14:paraId="12083AF4">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0"/>
          <w:szCs w:val="20"/>
          <w:u w:val="single"/>
          <w:lang w:val="en-US" w:eastAsia="zh-CN"/>
        </w:rPr>
      </w:pPr>
      <w:r>
        <w:rPr>
          <w:rFonts w:hint="eastAsia"/>
          <w:b/>
          <w:sz w:val="20"/>
          <w:szCs w:val="20"/>
          <w:u w:val="single"/>
          <w:lang w:val="en-US" w:eastAsia="zh-CN"/>
        </w:rPr>
        <w:t>Rank/MCS</w:t>
      </w:r>
    </w:p>
    <w:p w14:paraId="773B9D9F">
      <w:pPr>
        <w:overflowPunct w:val="0"/>
        <w:autoSpaceDE w:val="0"/>
        <w:autoSpaceDN w:val="0"/>
        <w:adjustRightInd w:val="0"/>
        <w:spacing w:after="120" w:line="276" w:lineRule="auto"/>
        <w:textAlignment w:val="baseline"/>
        <w:rPr>
          <w:rFonts w:hint="eastAsia"/>
          <w:kern w:val="2"/>
          <w:sz w:val="20"/>
          <w:szCs w:val="20"/>
          <w:lang w:val="en-US" w:eastAsia="zh-CN"/>
        </w:rPr>
      </w:pPr>
      <w:bookmarkStart w:id="31" w:name="OLE_LINK23"/>
      <w:r>
        <w:rPr>
          <w:rFonts w:hint="eastAsia" w:cs="Times New Roman"/>
          <w:sz w:val="20"/>
          <w:szCs w:val="20"/>
          <w:lang w:val="en-US" w:eastAsia="zh-CN"/>
        </w:rPr>
        <w:t xml:space="preserve">Since the spatial independence comes from antenna polarization, then only Rank 2 can be supported. Regarding MCS, the assumptions in Rel-18 can be the starting point, and can be further refined according to the simulation results, including </w:t>
      </w:r>
      <w:bookmarkStart w:id="32" w:name="OLE_LINK9"/>
      <w:r>
        <w:rPr>
          <w:rFonts w:eastAsia="宋体"/>
          <w:sz w:val="20"/>
          <w:szCs w:val="20"/>
        </w:rPr>
        <w:t xml:space="preserve">16QAM </w:t>
      </w:r>
      <w:r>
        <w:rPr>
          <w:rFonts w:eastAsia="宋体"/>
          <w:kern w:val="2"/>
          <w:sz w:val="20"/>
          <w:szCs w:val="20"/>
        </w:rPr>
        <w:t>Table 1 MCS</w:t>
      </w:r>
      <w:r>
        <w:rPr>
          <w:rFonts w:hint="eastAsia" w:eastAsia="宋体"/>
          <w:kern w:val="2"/>
          <w:sz w:val="20"/>
          <w:szCs w:val="20"/>
        </w:rPr>
        <w:t>1</w:t>
      </w:r>
      <w:r>
        <w:rPr>
          <w:rFonts w:eastAsia="宋体"/>
          <w:kern w:val="2"/>
          <w:sz w:val="20"/>
          <w:szCs w:val="20"/>
        </w:rPr>
        <w:t>3</w:t>
      </w:r>
      <w:r>
        <w:rPr>
          <w:rFonts w:hint="eastAsia" w:eastAsia="宋体"/>
          <w:kern w:val="2"/>
          <w:sz w:val="20"/>
          <w:szCs w:val="20"/>
          <w:lang w:val="en-US" w:eastAsia="zh-CN"/>
        </w:rPr>
        <w:t xml:space="preserve">, </w:t>
      </w:r>
      <w:r>
        <w:rPr>
          <w:rFonts w:eastAsia="宋体"/>
          <w:sz w:val="20"/>
          <w:szCs w:val="20"/>
        </w:rPr>
        <w:t>64QAM</w:t>
      </w:r>
      <w:r>
        <w:rPr>
          <w:rFonts w:eastAsia="宋体"/>
          <w:kern w:val="2"/>
          <w:sz w:val="20"/>
          <w:szCs w:val="20"/>
        </w:rPr>
        <w:t xml:space="preserve"> Table 1 MCS 22</w:t>
      </w:r>
      <w:r>
        <w:rPr>
          <w:rFonts w:hint="eastAsia" w:eastAsia="宋体"/>
          <w:kern w:val="2"/>
          <w:sz w:val="20"/>
          <w:szCs w:val="20"/>
          <w:lang w:val="en-US" w:eastAsia="zh-CN"/>
        </w:rPr>
        <w:t xml:space="preserve"> and </w:t>
      </w:r>
      <w:r>
        <w:rPr>
          <w:rFonts w:eastAsia="宋体"/>
          <w:sz w:val="20"/>
          <w:szCs w:val="20"/>
        </w:rPr>
        <w:t>256QAM</w:t>
      </w:r>
      <w:r>
        <w:rPr>
          <w:rFonts w:eastAsia="宋体"/>
          <w:kern w:val="2"/>
          <w:sz w:val="20"/>
          <w:szCs w:val="20"/>
        </w:rPr>
        <w:t xml:space="preserve"> Table </w:t>
      </w:r>
      <w:r>
        <w:rPr>
          <w:rFonts w:hint="eastAsia"/>
          <w:kern w:val="2"/>
          <w:sz w:val="20"/>
          <w:szCs w:val="20"/>
        </w:rPr>
        <w:t>2</w:t>
      </w:r>
      <w:r>
        <w:rPr>
          <w:rFonts w:eastAsia="宋体"/>
          <w:kern w:val="2"/>
          <w:sz w:val="20"/>
          <w:szCs w:val="20"/>
        </w:rPr>
        <w:t xml:space="preserve"> MCS </w:t>
      </w:r>
      <w:r>
        <w:rPr>
          <w:rFonts w:hint="eastAsia"/>
          <w:kern w:val="2"/>
          <w:sz w:val="20"/>
          <w:szCs w:val="20"/>
        </w:rPr>
        <w:t>24</w:t>
      </w:r>
      <w:bookmarkEnd w:id="32"/>
      <w:r>
        <w:rPr>
          <w:rFonts w:hint="eastAsia"/>
          <w:kern w:val="2"/>
          <w:sz w:val="20"/>
          <w:szCs w:val="20"/>
          <w:lang w:val="en-US" w:eastAsia="zh-CN"/>
        </w:rPr>
        <w:t>.</w:t>
      </w:r>
    </w:p>
    <w:bookmarkEnd w:id="31"/>
    <w:p w14:paraId="0BE8363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33" w:name="OLE_LINK50"/>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Rank, cover Rank 2 for MIMO performance verification.</w:t>
      </w:r>
    </w:p>
    <w:p w14:paraId="702A0F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Proposal 12: For initial simulation, consider 16QAM Table 1 MCS13, 64QAM Table 1 MCS 22 and 256QAM Table 2 MCS 24.</w:t>
      </w:r>
    </w:p>
    <w:bookmarkEnd w:id="33"/>
    <w:p w14:paraId="1E298BCF">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kern w:val="2"/>
          <w:sz w:val="20"/>
          <w:szCs w:val="20"/>
          <w:lang w:val="en-US" w:eastAsia="zh-CN"/>
        </w:rPr>
      </w:pPr>
    </w:p>
    <w:p w14:paraId="69BE6997">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kern w:val="2"/>
          <w:sz w:val="20"/>
          <w:szCs w:val="20"/>
          <w:lang w:val="en-US" w:eastAsia="zh-CN"/>
        </w:rPr>
      </w:pPr>
      <w:bookmarkStart w:id="34" w:name="OLE_LINK10"/>
      <w:r>
        <w:rPr>
          <w:rFonts w:hint="eastAsia"/>
          <w:kern w:val="2"/>
          <w:sz w:val="20"/>
          <w:szCs w:val="20"/>
          <w:lang w:val="en-US" w:eastAsia="zh-CN"/>
        </w:rPr>
        <w:t>For other simulation assumptions, we think the agreements from Rel-18 can be reused, including:</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3056"/>
        <w:gridCol w:w="1554"/>
        <w:gridCol w:w="1694"/>
        <w:gridCol w:w="1703"/>
      </w:tblGrid>
      <w:tr w14:paraId="173E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4A3FBDAE">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Parameter</w:t>
            </w:r>
          </w:p>
        </w:tc>
        <w:tc>
          <w:tcPr>
            <w:tcW w:w="1554" w:type="dxa"/>
          </w:tcPr>
          <w:p w14:paraId="224E99D3">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Unit</w:t>
            </w:r>
          </w:p>
        </w:tc>
        <w:tc>
          <w:tcPr>
            <w:tcW w:w="1694" w:type="dxa"/>
          </w:tcPr>
          <w:p w14:paraId="71790669">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Test 1</w:t>
            </w:r>
          </w:p>
        </w:tc>
        <w:tc>
          <w:tcPr>
            <w:tcW w:w="1703" w:type="dxa"/>
          </w:tcPr>
          <w:p w14:paraId="340EF6CD">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Test 2</w:t>
            </w:r>
          </w:p>
        </w:tc>
      </w:tr>
      <w:tr w14:paraId="09D2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746ECD67">
            <w:pPr>
              <w:overflowPunct w:val="0"/>
              <w:autoSpaceDE w:val="0"/>
              <w:autoSpaceDN w:val="0"/>
              <w:adjustRightInd w:val="0"/>
              <w:spacing w:after="120" w:line="276" w:lineRule="auto"/>
              <w:textAlignment w:val="baseline"/>
              <w:rPr>
                <w:rFonts w:eastAsia="宋体"/>
                <w:sz w:val="20"/>
                <w:szCs w:val="20"/>
              </w:rPr>
            </w:pPr>
            <w:bookmarkStart w:id="35" w:name="_Hlk135760729"/>
            <w:r>
              <w:rPr>
                <w:rFonts w:eastAsia="宋体"/>
                <w:sz w:val="20"/>
                <w:szCs w:val="20"/>
              </w:rPr>
              <w:t>Frequency range</w:t>
            </w:r>
          </w:p>
        </w:tc>
        <w:tc>
          <w:tcPr>
            <w:tcW w:w="1554" w:type="dxa"/>
          </w:tcPr>
          <w:p w14:paraId="1A723EC7">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　</w:t>
            </w:r>
          </w:p>
        </w:tc>
        <w:tc>
          <w:tcPr>
            <w:tcW w:w="1694" w:type="dxa"/>
          </w:tcPr>
          <w:p w14:paraId="0FA56F7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c>
          <w:tcPr>
            <w:tcW w:w="1703" w:type="dxa"/>
          </w:tcPr>
          <w:p w14:paraId="3700FBD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r>
      <w:tr w14:paraId="41B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3EB3DBF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Bandwidth</w:t>
            </w:r>
          </w:p>
        </w:tc>
        <w:tc>
          <w:tcPr>
            <w:tcW w:w="1554" w:type="dxa"/>
          </w:tcPr>
          <w:p w14:paraId="2DB51B4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MHz</w:t>
            </w:r>
          </w:p>
        </w:tc>
        <w:tc>
          <w:tcPr>
            <w:tcW w:w="1694" w:type="dxa"/>
          </w:tcPr>
          <w:p w14:paraId="0A392E6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10</w:t>
            </w:r>
          </w:p>
        </w:tc>
        <w:tc>
          <w:tcPr>
            <w:tcW w:w="1703" w:type="dxa"/>
          </w:tcPr>
          <w:p w14:paraId="292F6E60">
            <w:pPr>
              <w:overflowPunct w:val="0"/>
              <w:autoSpaceDE w:val="0"/>
              <w:autoSpaceDN w:val="0"/>
              <w:adjustRightInd w:val="0"/>
              <w:spacing w:after="120" w:line="276" w:lineRule="auto"/>
              <w:textAlignment w:val="baseline"/>
              <w:rPr>
                <w:sz w:val="20"/>
                <w:szCs w:val="20"/>
              </w:rPr>
            </w:pPr>
            <w:r>
              <w:rPr>
                <w:rFonts w:eastAsia="宋体"/>
                <w:sz w:val="20"/>
                <w:szCs w:val="20"/>
              </w:rPr>
              <w:t>40</w:t>
            </w:r>
          </w:p>
        </w:tc>
      </w:tr>
      <w:tr w14:paraId="4069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1E4187D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Subcarrier spacing</w:t>
            </w:r>
          </w:p>
        </w:tc>
        <w:tc>
          <w:tcPr>
            <w:tcW w:w="1554" w:type="dxa"/>
          </w:tcPr>
          <w:p w14:paraId="7AC8C4E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kHz</w:t>
            </w:r>
          </w:p>
        </w:tc>
        <w:tc>
          <w:tcPr>
            <w:tcW w:w="1694" w:type="dxa"/>
          </w:tcPr>
          <w:p w14:paraId="226BBC92">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15</w:t>
            </w:r>
          </w:p>
        </w:tc>
        <w:tc>
          <w:tcPr>
            <w:tcW w:w="1703" w:type="dxa"/>
          </w:tcPr>
          <w:p w14:paraId="5C0FD8C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30</w:t>
            </w:r>
          </w:p>
        </w:tc>
      </w:tr>
      <w:tr w14:paraId="4CBA0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2683173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Duplex Mode</w:t>
            </w:r>
          </w:p>
        </w:tc>
        <w:tc>
          <w:tcPr>
            <w:tcW w:w="1554" w:type="dxa"/>
          </w:tcPr>
          <w:p w14:paraId="5FB40D8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1DDBC27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FDD</w:t>
            </w:r>
          </w:p>
        </w:tc>
        <w:tc>
          <w:tcPr>
            <w:tcW w:w="1703" w:type="dxa"/>
          </w:tcPr>
          <w:p w14:paraId="755BF6B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TDD</w:t>
            </w:r>
          </w:p>
        </w:tc>
      </w:tr>
      <w:bookmarkEnd w:id="35"/>
      <w:tr w14:paraId="612B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347" w:type="dxa"/>
            <w:gridSpan w:val="2"/>
          </w:tcPr>
          <w:p w14:paraId="671ABE1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Propagation channel</w:t>
            </w:r>
          </w:p>
        </w:tc>
        <w:tc>
          <w:tcPr>
            <w:tcW w:w="1554" w:type="dxa"/>
          </w:tcPr>
          <w:p w14:paraId="6DBE858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03172F7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AWGN+220Hz doppler</w:t>
            </w:r>
          </w:p>
        </w:tc>
        <w:tc>
          <w:tcPr>
            <w:tcW w:w="1703" w:type="dxa"/>
          </w:tcPr>
          <w:p w14:paraId="3FF4D31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AWGN+500Hz doppler</w:t>
            </w:r>
          </w:p>
        </w:tc>
      </w:tr>
      <w:tr w14:paraId="53FE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347" w:type="dxa"/>
            <w:gridSpan w:val="2"/>
          </w:tcPr>
          <w:p w14:paraId="77450C2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Beamforming Model  </w:t>
            </w:r>
          </w:p>
        </w:tc>
        <w:tc>
          <w:tcPr>
            <w:tcW w:w="1554" w:type="dxa"/>
          </w:tcPr>
          <w:p w14:paraId="4C89C82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135E1EE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As defined in Annex B.4.1 in TS 38.101-4</w:t>
            </w:r>
          </w:p>
        </w:tc>
        <w:tc>
          <w:tcPr>
            <w:tcW w:w="1703" w:type="dxa"/>
          </w:tcPr>
          <w:p w14:paraId="02DE29C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As defined in Annex B.4.1 in TS 38.101-4</w:t>
            </w:r>
          </w:p>
        </w:tc>
      </w:tr>
      <w:tr w14:paraId="1664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2170F99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Receiver type</w:t>
            </w:r>
          </w:p>
        </w:tc>
        <w:tc>
          <w:tcPr>
            <w:tcW w:w="1554" w:type="dxa"/>
          </w:tcPr>
          <w:p w14:paraId="66652F6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358B2BE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MMSE-IRC</w:t>
            </w:r>
          </w:p>
        </w:tc>
        <w:tc>
          <w:tcPr>
            <w:tcW w:w="1703" w:type="dxa"/>
          </w:tcPr>
          <w:p w14:paraId="6CE767C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MMSE-IRC</w:t>
            </w:r>
          </w:p>
        </w:tc>
      </w:tr>
      <w:tr w14:paraId="19FA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restart"/>
          </w:tcPr>
          <w:p w14:paraId="2E29BD5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PDSCH configuration</w:t>
            </w:r>
          </w:p>
        </w:tc>
        <w:tc>
          <w:tcPr>
            <w:tcW w:w="3056" w:type="dxa"/>
          </w:tcPr>
          <w:p w14:paraId="36BCE17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Mapping type</w:t>
            </w:r>
          </w:p>
        </w:tc>
        <w:tc>
          <w:tcPr>
            <w:tcW w:w="1554" w:type="dxa"/>
          </w:tcPr>
          <w:p w14:paraId="7B119F5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16606BA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A</w:t>
            </w:r>
          </w:p>
        </w:tc>
        <w:tc>
          <w:tcPr>
            <w:tcW w:w="1703" w:type="dxa"/>
          </w:tcPr>
          <w:p w14:paraId="43904EA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A</w:t>
            </w:r>
          </w:p>
        </w:tc>
      </w:tr>
      <w:tr w14:paraId="6D83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7824F79F">
            <w:pPr>
              <w:overflowPunct w:val="0"/>
              <w:autoSpaceDE w:val="0"/>
              <w:autoSpaceDN w:val="0"/>
              <w:adjustRightInd w:val="0"/>
              <w:spacing w:after="120" w:line="276" w:lineRule="auto"/>
              <w:textAlignment w:val="baseline"/>
              <w:rPr>
                <w:rFonts w:eastAsia="宋体"/>
                <w:sz w:val="20"/>
                <w:szCs w:val="20"/>
              </w:rPr>
            </w:pPr>
          </w:p>
        </w:tc>
        <w:tc>
          <w:tcPr>
            <w:tcW w:w="3056" w:type="dxa"/>
          </w:tcPr>
          <w:p w14:paraId="1334604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Starting symbol (S)</w:t>
            </w:r>
          </w:p>
        </w:tc>
        <w:tc>
          <w:tcPr>
            <w:tcW w:w="1554" w:type="dxa"/>
          </w:tcPr>
          <w:p w14:paraId="3D6371C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14F6E3A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03" w:type="dxa"/>
          </w:tcPr>
          <w:p w14:paraId="2B1531C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14:paraId="3B1B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553AB035">
            <w:pPr>
              <w:overflowPunct w:val="0"/>
              <w:autoSpaceDE w:val="0"/>
              <w:autoSpaceDN w:val="0"/>
              <w:adjustRightInd w:val="0"/>
              <w:spacing w:after="120" w:line="276" w:lineRule="auto"/>
              <w:textAlignment w:val="baseline"/>
              <w:rPr>
                <w:rFonts w:eastAsia="宋体"/>
                <w:sz w:val="20"/>
                <w:szCs w:val="20"/>
              </w:rPr>
            </w:pPr>
          </w:p>
        </w:tc>
        <w:tc>
          <w:tcPr>
            <w:tcW w:w="3056" w:type="dxa"/>
          </w:tcPr>
          <w:p w14:paraId="03E4652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Length (L)</w:t>
            </w:r>
          </w:p>
        </w:tc>
        <w:tc>
          <w:tcPr>
            <w:tcW w:w="1554" w:type="dxa"/>
          </w:tcPr>
          <w:p w14:paraId="5A76BEE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A7894C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12</w:t>
            </w:r>
          </w:p>
        </w:tc>
        <w:tc>
          <w:tcPr>
            <w:tcW w:w="1703" w:type="dxa"/>
          </w:tcPr>
          <w:p w14:paraId="6C1CE91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12</w:t>
            </w:r>
          </w:p>
        </w:tc>
      </w:tr>
      <w:tr w14:paraId="7CCD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7FF7B734">
            <w:pPr>
              <w:overflowPunct w:val="0"/>
              <w:autoSpaceDE w:val="0"/>
              <w:autoSpaceDN w:val="0"/>
              <w:adjustRightInd w:val="0"/>
              <w:spacing w:after="120" w:line="276" w:lineRule="auto"/>
              <w:textAlignment w:val="baseline"/>
              <w:rPr>
                <w:rFonts w:eastAsia="宋体"/>
                <w:sz w:val="20"/>
                <w:szCs w:val="20"/>
              </w:rPr>
            </w:pPr>
          </w:p>
        </w:tc>
        <w:tc>
          <w:tcPr>
            <w:tcW w:w="3056" w:type="dxa"/>
          </w:tcPr>
          <w:p w14:paraId="72491D2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PRB bundling size</w:t>
            </w:r>
          </w:p>
        </w:tc>
        <w:tc>
          <w:tcPr>
            <w:tcW w:w="1554" w:type="dxa"/>
          </w:tcPr>
          <w:p w14:paraId="1B7358E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7F2B91D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03" w:type="dxa"/>
          </w:tcPr>
          <w:p w14:paraId="3D2D0C9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14:paraId="400C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61E32523">
            <w:pPr>
              <w:overflowPunct w:val="0"/>
              <w:autoSpaceDE w:val="0"/>
              <w:autoSpaceDN w:val="0"/>
              <w:adjustRightInd w:val="0"/>
              <w:spacing w:after="120" w:line="276" w:lineRule="auto"/>
              <w:textAlignment w:val="baseline"/>
              <w:rPr>
                <w:rFonts w:eastAsia="宋体"/>
                <w:sz w:val="20"/>
                <w:szCs w:val="20"/>
              </w:rPr>
            </w:pPr>
          </w:p>
        </w:tc>
        <w:tc>
          <w:tcPr>
            <w:tcW w:w="3056" w:type="dxa"/>
          </w:tcPr>
          <w:p w14:paraId="543880F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PRB bundling type</w:t>
            </w:r>
          </w:p>
        </w:tc>
        <w:tc>
          <w:tcPr>
            <w:tcW w:w="1554" w:type="dxa"/>
          </w:tcPr>
          <w:p w14:paraId="31CEA6B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25BF53B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Static</w:t>
            </w:r>
          </w:p>
        </w:tc>
        <w:tc>
          <w:tcPr>
            <w:tcW w:w="1703" w:type="dxa"/>
          </w:tcPr>
          <w:p w14:paraId="2F4E765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Static</w:t>
            </w:r>
          </w:p>
        </w:tc>
      </w:tr>
      <w:tr w14:paraId="60DE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91" w:type="dxa"/>
            <w:vMerge w:val="continue"/>
          </w:tcPr>
          <w:p w14:paraId="53121527">
            <w:pPr>
              <w:overflowPunct w:val="0"/>
              <w:autoSpaceDE w:val="0"/>
              <w:autoSpaceDN w:val="0"/>
              <w:adjustRightInd w:val="0"/>
              <w:spacing w:after="120" w:line="276" w:lineRule="auto"/>
              <w:textAlignment w:val="baseline"/>
              <w:rPr>
                <w:rFonts w:eastAsia="宋体"/>
                <w:sz w:val="20"/>
                <w:szCs w:val="20"/>
              </w:rPr>
            </w:pPr>
          </w:p>
        </w:tc>
        <w:tc>
          <w:tcPr>
            <w:tcW w:w="3056" w:type="dxa"/>
          </w:tcPr>
          <w:p w14:paraId="33DC557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VRB-to-PRB mapping interleaver bundle size</w:t>
            </w:r>
          </w:p>
        </w:tc>
        <w:tc>
          <w:tcPr>
            <w:tcW w:w="1554" w:type="dxa"/>
          </w:tcPr>
          <w:p w14:paraId="2B2C1F6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397E795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Non-interleaved</w:t>
            </w:r>
          </w:p>
        </w:tc>
        <w:tc>
          <w:tcPr>
            <w:tcW w:w="1703" w:type="dxa"/>
          </w:tcPr>
          <w:p w14:paraId="7D43968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Non-interleaved</w:t>
            </w:r>
          </w:p>
        </w:tc>
      </w:tr>
      <w:tr w14:paraId="4C9B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restart"/>
          </w:tcPr>
          <w:p w14:paraId="2D1004C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PDSCH DMRS configuration</w:t>
            </w:r>
          </w:p>
        </w:tc>
        <w:tc>
          <w:tcPr>
            <w:tcW w:w="3056" w:type="dxa"/>
          </w:tcPr>
          <w:p w14:paraId="36B8653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DMRS Type</w:t>
            </w:r>
          </w:p>
        </w:tc>
        <w:tc>
          <w:tcPr>
            <w:tcW w:w="1554" w:type="dxa"/>
          </w:tcPr>
          <w:p w14:paraId="72E2BE6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88164A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1</w:t>
            </w:r>
          </w:p>
        </w:tc>
        <w:tc>
          <w:tcPr>
            <w:tcW w:w="1703" w:type="dxa"/>
          </w:tcPr>
          <w:p w14:paraId="64770DD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1</w:t>
            </w:r>
          </w:p>
        </w:tc>
      </w:tr>
      <w:tr w14:paraId="2796A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408AC30E">
            <w:pPr>
              <w:overflowPunct w:val="0"/>
              <w:autoSpaceDE w:val="0"/>
              <w:autoSpaceDN w:val="0"/>
              <w:adjustRightInd w:val="0"/>
              <w:spacing w:after="120" w:line="276" w:lineRule="auto"/>
              <w:textAlignment w:val="baseline"/>
              <w:rPr>
                <w:rFonts w:eastAsia="宋体"/>
                <w:sz w:val="20"/>
                <w:szCs w:val="20"/>
              </w:rPr>
            </w:pPr>
          </w:p>
        </w:tc>
        <w:tc>
          <w:tcPr>
            <w:tcW w:w="3056" w:type="dxa"/>
          </w:tcPr>
          <w:p w14:paraId="63802A5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additional DMRS</w:t>
            </w:r>
          </w:p>
        </w:tc>
        <w:tc>
          <w:tcPr>
            <w:tcW w:w="1554" w:type="dxa"/>
          </w:tcPr>
          <w:p w14:paraId="2E1F312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3C89ACE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03" w:type="dxa"/>
          </w:tcPr>
          <w:p w14:paraId="14E40D0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14:paraId="0D94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291" w:type="dxa"/>
            <w:vMerge w:val="continue"/>
          </w:tcPr>
          <w:p w14:paraId="29475855">
            <w:pPr>
              <w:overflowPunct w:val="0"/>
              <w:autoSpaceDE w:val="0"/>
              <w:autoSpaceDN w:val="0"/>
              <w:adjustRightInd w:val="0"/>
              <w:spacing w:after="120" w:line="276" w:lineRule="auto"/>
              <w:textAlignment w:val="baseline"/>
              <w:rPr>
                <w:rFonts w:eastAsia="宋体"/>
                <w:sz w:val="20"/>
                <w:szCs w:val="20"/>
              </w:rPr>
            </w:pPr>
          </w:p>
        </w:tc>
        <w:tc>
          <w:tcPr>
            <w:tcW w:w="3056" w:type="dxa"/>
          </w:tcPr>
          <w:p w14:paraId="04EFF80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Maximum number of OFDM symbols for DL front loaded DMRS</w:t>
            </w:r>
          </w:p>
        </w:tc>
        <w:tc>
          <w:tcPr>
            <w:tcW w:w="1554" w:type="dxa"/>
          </w:tcPr>
          <w:p w14:paraId="7319F7C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E0D7F7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03" w:type="dxa"/>
          </w:tcPr>
          <w:p w14:paraId="561FE45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14:paraId="00DA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91" w:type="dxa"/>
            <w:vMerge w:val="restart"/>
          </w:tcPr>
          <w:p w14:paraId="72B9F6A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NZP CSI-RS for CSI acquisition</w:t>
            </w:r>
          </w:p>
        </w:tc>
        <w:tc>
          <w:tcPr>
            <w:tcW w:w="3056" w:type="dxa"/>
          </w:tcPr>
          <w:p w14:paraId="3D05965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Row index (Note 3</w:t>
            </w:r>
            <w:r>
              <w:rPr>
                <w:rFonts w:eastAsia="宋体"/>
                <w:sz w:val="20"/>
                <w:szCs w:val="20"/>
                <w:vertAlign w:val="superscript"/>
              </w:rPr>
              <w:t>)</w:t>
            </w:r>
          </w:p>
        </w:tc>
        <w:tc>
          <w:tcPr>
            <w:tcW w:w="1554" w:type="dxa"/>
          </w:tcPr>
          <w:p w14:paraId="72876CA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6BC24612">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w:t>
            </w:r>
          </w:p>
        </w:tc>
        <w:tc>
          <w:tcPr>
            <w:tcW w:w="1703" w:type="dxa"/>
          </w:tcPr>
          <w:p w14:paraId="59AE1B6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w:t>
            </w:r>
          </w:p>
        </w:tc>
      </w:tr>
      <w:tr w14:paraId="55E6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91" w:type="dxa"/>
            <w:vMerge w:val="continue"/>
          </w:tcPr>
          <w:p w14:paraId="2BB76D4B">
            <w:pPr>
              <w:overflowPunct w:val="0"/>
              <w:autoSpaceDE w:val="0"/>
              <w:autoSpaceDN w:val="0"/>
              <w:adjustRightInd w:val="0"/>
              <w:spacing w:after="120" w:line="276" w:lineRule="auto"/>
              <w:textAlignment w:val="baseline"/>
              <w:rPr>
                <w:rFonts w:eastAsia="宋体"/>
                <w:sz w:val="20"/>
                <w:szCs w:val="20"/>
              </w:rPr>
            </w:pPr>
          </w:p>
        </w:tc>
        <w:tc>
          <w:tcPr>
            <w:tcW w:w="3056" w:type="dxa"/>
          </w:tcPr>
          <w:p w14:paraId="4B49A152">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subcarrier index in the PRB used for CSI-RS </w:t>
            </w:r>
          </w:p>
        </w:tc>
        <w:tc>
          <w:tcPr>
            <w:tcW w:w="1554" w:type="dxa"/>
          </w:tcPr>
          <w:p w14:paraId="1C5AFB9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7BCFAEC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0</w:t>
            </w:r>
          </w:p>
        </w:tc>
        <w:tc>
          <w:tcPr>
            <w:tcW w:w="1703" w:type="dxa"/>
          </w:tcPr>
          <w:p w14:paraId="4796F64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0</w:t>
            </w:r>
          </w:p>
        </w:tc>
      </w:tr>
      <w:tr w14:paraId="47806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91" w:type="dxa"/>
            <w:vMerge w:val="continue"/>
          </w:tcPr>
          <w:p w14:paraId="641F7BDB">
            <w:pPr>
              <w:overflowPunct w:val="0"/>
              <w:autoSpaceDE w:val="0"/>
              <w:autoSpaceDN w:val="0"/>
              <w:adjustRightInd w:val="0"/>
              <w:spacing w:after="120" w:line="276" w:lineRule="auto"/>
              <w:textAlignment w:val="baseline"/>
              <w:rPr>
                <w:rFonts w:eastAsia="宋体"/>
                <w:sz w:val="20"/>
                <w:szCs w:val="20"/>
              </w:rPr>
            </w:pPr>
          </w:p>
        </w:tc>
        <w:tc>
          <w:tcPr>
            <w:tcW w:w="3056" w:type="dxa"/>
          </w:tcPr>
          <w:p w14:paraId="71BB895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OFDM symbol in the PRB used for CSI-RS </w:t>
            </w:r>
          </w:p>
        </w:tc>
        <w:tc>
          <w:tcPr>
            <w:tcW w:w="1554" w:type="dxa"/>
          </w:tcPr>
          <w:p w14:paraId="169F642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6A7D20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c>
          <w:tcPr>
            <w:tcW w:w="1703" w:type="dxa"/>
          </w:tcPr>
          <w:p w14:paraId="780362A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r>
      <w:tr w14:paraId="447A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91" w:type="dxa"/>
            <w:vMerge w:val="continue"/>
          </w:tcPr>
          <w:p w14:paraId="1E352476">
            <w:pPr>
              <w:overflowPunct w:val="0"/>
              <w:autoSpaceDE w:val="0"/>
              <w:autoSpaceDN w:val="0"/>
              <w:adjustRightInd w:val="0"/>
              <w:spacing w:after="120" w:line="276" w:lineRule="auto"/>
              <w:textAlignment w:val="baseline"/>
              <w:rPr>
                <w:rFonts w:eastAsia="宋体"/>
                <w:sz w:val="20"/>
                <w:szCs w:val="20"/>
              </w:rPr>
            </w:pPr>
          </w:p>
        </w:tc>
        <w:tc>
          <w:tcPr>
            <w:tcW w:w="3056" w:type="dxa"/>
          </w:tcPr>
          <w:p w14:paraId="0DFACD2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CSI-RS ports (X)</w:t>
            </w:r>
          </w:p>
        </w:tc>
        <w:tc>
          <w:tcPr>
            <w:tcW w:w="1554" w:type="dxa"/>
          </w:tcPr>
          <w:p w14:paraId="55058A5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64B9C43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03" w:type="dxa"/>
          </w:tcPr>
          <w:p w14:paraId="54AB5F5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14:paraId="4EEF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21946CD0">
            <w:pPr>
              <w:overflowPunct w:val="0"/>
              <w:autoSpaceDE w:val="0"/>
              <w:autoSpaceDN w:val="0"/>
              <w:adjustRightInd w:val="0"/>
              <w:spacing w:after="120" w:line="276" w:lineRule="auto"/>
              <w:textAlignment w:val="baseline"/>
              <w:rPr>
                <w:rFonts w:eastAsia="宋体"/>
                <w:sz w:val="20"/>
                <w:szCs w:val="20"/>
              </w:rPr>
            </w:pPr>
          </w:p>
        </w:tc>
        <w:tc>
          <w:tcPr>
            <w:tcW w:w="3056" w:type="dxa"/>
          </w:tcPr>
          <w:p w14:paraId="0C85C6F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CDM Type</w:t>
            </w:r>
          </w:p>
        </w:tc>
        <w:tc>
          <w:tcPr>
            <w:tcW w:w="1554" w:type="dxa"/>
          </w:tcPr>
          <w:p w14:paraId="46070A4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DF26752">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c>
          <w:tcPr>
            <w:tcW w:w="1703" w:type="dxa"/>
          </w:tcPr>
          <w:p w14:paraId="56528EE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r>
      <w:tr w14:paraId="0607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1118B9D7">
            <w:pPr>
              <w:overflowPunct w:val="0"/>
              <w:autoSpaceDE w:val="0"/>
              <w:autoSpaceDN w:val="0"/>
              <w:adjustRightInd w:val="0"/>
              <w:spacing w:after="120" w:line="276" w:lineRule="auto"/>
              <w:textAlignment w:val="baseline"/>
              <w:rPr>
                <w:rFonts w:eastAsia="宋体"/>
                <w:sz w:val="20"/>
                <w:szCs w:val="20"/>
              </w:rPr>
            </w:pPr>
          </w:p>
        </w:tc>
        <w:tc>
          <w:tcPr>
            <w:tcW w:w="3056" w:type="dxa"/>
          </w:tcPr>
          <w:p w14:paraId="1C42312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Density (ρ)</w:t>
            </w:r>
          </w:p>
        </w:tc>
        <w:tc>
          <w:tcPr>
            <w:tcW w:w="1554" w:type="dxa"/>
          </w:tcPr>
          <w:p w14:paraId="796DE89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4D8C366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03" w:type="dxa"/>
          </w:tcPr>
          <w:p w14:paraId="4583BA5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14:paraId="51C6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2382DB79">
            <w:pPr>
              <w:overflowPunct w:val="0"/>
              <w:autoSpaceDE w:val="0"/>
              <w:autoSpaceDN w:val="0"/>
              <w:adjustRightInd w:val="0"/>
              <w:spacing w:after="120" w:line="276" w:lineRule="auto"/>
              <w:textAlignment w:val="baseline"/>
              <w:rPr>
                <w:rFonts w:eastAsia="宋体"/>
                <w:sz w:val="20"/>
                <w:szCs w:val="20"/>
              </w:rPr>
            </w:pPr>
          </w:p>
        </w:tc>
        <w:tc>
          <w:tcPr>
            <w:tcW w:w="3056" w:type="dxa"/>
          </w:tcPr>
          <w:p w14:paraId="77C0EDA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periodicity</w:t>
            </w:r>
          </w:p>
        </w:tc>
        <w:tc>
          <w:tcPr>
            <w:tcW w:w="1554" w:type="dxa"/>
          </w:tcPr>
          <w:p w14:paraId="5628116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694" w:type="dxa"/>
          </w:tcPr>
          <w:p w14:paraId="429A00A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20</w:t>
            </w:r>
          </w:p>
        </w:tc>
        <w:tc>
          <w:tcPr>
            <w:tcW w:w="1703" w:type="dxa"/>
          </w:tcPr>
          <w:p w14:paraId="01C6281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40</w:t>
            </w:r>
          </w:p>
        </w:tc>
      </w:tr>
      <w:tr w14:paraId="1DF9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75D034E5">
            <w:pPr>
              <w:overflowPunct w:val="0"/>
              <w:autoSpaceDE w:val="0"/>
              <w:autoSpaceDN w:val="0"/>
              <w:adjustRightInd w:val="0"/>
              <w:spacing w:after="120" w:line="276" w:lineRule="auto"/>
              <w:textAlignment w:val="baseline"/>
              <w:rPr>
                <w:rFonts w:eastAsia="宋体"/>
                <w:sz w:val="20"/>
                <w:szCs w:val="20"/>
              </w:rPr>
            </w:pPr>
          </w:p>
        </w:tc>
        <w:tc>
          <w:tcPr>
            <w:tcW w:w="3056" w:type="dxa"/>
          </w:tcPr>
          <w:p w14:paraId="2D49701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offset</w:t>
            </w:r>
          </w:p>
        </w:tc>
        <w:tc>
          <w:tcPr>
            <w:tcW w:w="1554" w:type="dxa"/>
          </w:tcPr>
          <w:p w14:paraId="1917441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694" w:type="dxa"/>
          </w:tcPr>
          <w:p w14:paraId="46112B2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c>
          <w:tcPr>
            <w:tcW w:w="1703" w:type="dxa"/>
          </w:tcPr>
          <w:p w14:paraId="764969D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r>
      <w:tr w14:paraId="4C27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2D13A262">
            <w:pPr>
              <w:overflowPunct w:val="0"/>
              <w:autoSpaceDE w:val="0"/>
              <w:autoSpaceDN w:val="0"/>
              <w:adjustRightInd w:val="0"/>
              <w:spacing w:after="120" w:line="276" w:lineRule="auto"/>
              <w:textAlignment w:val="baseline"/>
              <w:rPr>
                <w:rFonts w:eastAsia="宋体"/>
                <w:sz w:val="20"/>
                <w:szCs w:val="20"/>
              </w:rPr>
            </w:pPr>
          </w:p>
        </w:tc>
        <w:tc>
          <w:tcPr>
            <w:tcW w:w="3056" w:type="dxa"/>
            <w:vMerge w:val="restart"/>
          </w:tcPr>
          <w:p w14:paraId="6842331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Frequency Occupation</w:t>
            </w:r>
          </w:p>
        </w:tc>
        <w:tc>
          <w:tcPr>
            <w:tcW w:w="1554" w:type="dxa"/>
            <w:vMerge w:val="restart"/>
          </w:tcPr>
          <w:p w14:paraId="3DFC13E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3549AB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c>
          <w:tcPr>
            <w:tcW w:w="1703" w:type="dxa"/>
          </w:tcPr>
          <w:p w14:paraId="23CC6D8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r>
      <w:tr w14:paraId="5517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291" w:type="dxa"/>
            <w:vMerge w:val="continue"/>
          </w:tcPr>
          <w:p w14:paraId="0472F9D8">
            <w:pPr>
              <w:overflowPunct w:val="0"/>
              <w:autoSpaceDE w:val="0"/>
              <w:autoSpaceDN w:val="0"/>
              <w:adjustRightInd w:val="0"/>
              <w:spacing w:after="120" w:line="276" w:lineRule="auto"/>
              <w:textAlignment w:val="baseline"/>
              <w:rPr>
                <w:rFonts w:eastAsia="宋体"/>
                <w:sz w:val="20"/>
                <w:szCs w:val="20"/>
              </w:rPr>
            </w:pPr>
          </w:p>
        </w:tc>
        <w:tc>
          <w:tcPr>
            <w:tcW w:w="3056" w:type="dxa"/>
            <w:vMerge w:val="continue"/>
          </w:tcPr>
          <w:p w14:paraId="22D41EAD">
            <w:pPr>
              <w:overflowPunct w:val="0"/>
              <w:autoSpaceDE w:val="0"/>
              <w:autoSpaceDN w:val="0"/>
              <w:adjustRightInd w:val="0"/>
              <w:spacing w:after="120" w:line="276" w:lineRule="auto"/>
              <w:textAlignment w:val="baseline"/>
              <w:rPr>
                <w:rFonts w:eastAsia="宋体"/>
                <w:sz w:val="20"/>
                <w:szCs w:val="20"/>
              </w:rPr>
            </w:pPr>
          </w:p>
        </w:tc>
        <w:tc>
          <w:tcPr>
            <w:tcW w:w="1554" w:type="dxa"/>
            <w:vMerge w:val="continue"/>
          </w:tcPr>
          <w:p w14:paraId="2C78FCCC">
            <w:pPr>
              <w:overflowPunct w:val="0"/>
              <w:autoSpaceDE w:val="0"/>
              <w:autoSpaceDN w:val="0"/>
              <w:adjustRightInd w:val="0"/>
              <w:spacing w:after="120" w:line="276" w:lineRule="auto"/>
              <w:textAlignment w:val="baseline"/>
              <w:rPr>
                <w:rFonts w:eastAsia="宋体"/>
                <w:sz w:val="20"/>
                <w:szCs w:val="20"/>
              </w:rPr>
            </w:pPr>
          </w:p>
        </w:tc>
        <w:tc>
          <w:tcPr>
            <w:tcW w:w="1694" w:type="dxa"/>
          </w:tcPr>
          <w:p w14:paraId="2D68788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c>
          <w:tcPr>
            <w:tcW w:w="1703" w:type="dxa"/>
          </w:tcPr>
          <w:p w14:paraId="3B211ED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r>
      <w:tr w14:paraId="7A2F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4137C752">
            <w:pPr>
              <w:overflowPunct w:val="0"/>
              <w:autoSpaceDE w:val="0"/>
              <w:autoSpaceDN w:val="0"/>
              <w:adjustRightInd w:val="0"/>
              <w:spacing w:after="120" w:line="276" w:lineRule="auto"/>
              <w:textAlignment w:val="baseline"/>
              <w:rPr>
                <w:rFonts w:eastAsia="宋体"/>
                <w:sz w:val="20"/>
                <w:szCs w:val="20"/>
              </w:rPr>
            </w:pPr>
          </w:p>
        </w:tc>
        <w:tc>
          <w:tcPr>
            <w:tcW w:w="3056" w:type="dxa"/>
          </w:tcPr>
          <w:p w14:paraId="2FDE365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QCL info</w:t>
            </w:r>
          </w:p>
        </w:tc>
        <w:tc>
          <w:tcPr>
            <w:tcW w:w="1554" w:type="dxa"/>
          </w:tcPr>
          <w:p w14:paraId="6ACA387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0F0E957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TCI state #1</w:t>
            </w:r>
          </w:p>
        </w:tc>
        <w:tc>
          <w:tcPr>
            <w:tcW w:w="1703" w:type="dxa"/>
          </w:tcPr>
          <w:p w14:paraId="10BA5C2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TCI state #1</w:t>
            </w:r>
          </w:p>
        </w:tc>
      </w:tr>
      <w:tr w14:paraId="0E5F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restart"/>
          </w:tcPr>
          <w:p w14:paraId="2070345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ZP CSI-RS for CSI acquisition</w:t>
            </w:r>
          </w:p>
        </w:tc>
        <w:tc>
          <w:tcPr>
            <w:tcW w:w="3056" w:type="dxa"/>
          </w:tcPr>
          <w:p w14:paraId="4AF6C43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Row index (Note 3)</w:t>
            </w:r>
          </w:p>
        </w:tc>
        <w:tc>
          <w:tcPr>
            <w:tcW w:w="1554" w:type="dxa"/>
          </w:tcPr>
          <w:p w14:paraId="397167C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01F6E5D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5</w:t>
            </w:r>
          </w:p>
        </w:tc>
        <w:tc>
          <w:tcPr>
            <w:tcW w:w="1703" w:type="dxa"/>
          </w:tcPr>
          <w:p w14:paraId="3D5A619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5</w:t>
            </w:r>
          </w:p>
        </w:tc>
      </w:tr>
      <w:tr w14:paraId="10FC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91" w:type="dxa"/>
            <w:vMerge w:val="continue"/>
          </w:tcPr>
          <w:p w14:paraId="758027BB">
            <w:pPr>
              <w:overflowPunct w:val="0"/>
              <w:autoSpaceDE w:val="0"/>
              <w:autoSpaceDN w:val="0"/>
              <w:adjustRightInd w:val="0"/>
              <w:spacing w:after="120" w:line="276" w:lineRule="auto"/>
              <w:textAlignment w:val="baseline"/>
              <w:rPr>
                <w:rFonts w:eastAsia="宋体"/>
                <w:sz w:val="20"/>
                <w:szCs w:val="20"/>
              </w:rPr>
            </w:pPr>
          </w:p>
        </w:tc>
        <w:tc>
          <w:tcPr>
            <w:tcW w:w="3056" w:type="dxa"/>
          </w:tcPr>
          <w:p w14:paraId="057C6ED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subcarrier index in the PRB used for CSI-RS </w:t>
            </w:r>
          </w:p>
        </w:tc>
        <w:tc>
          <w:tcPr>
            <w:tcW w:w="1554" w:type="dxa"/>
          </w:tcPr>
          <w:p w14:paraId="4C4EF9C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FD6D16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4</w:t>
            </w:r>
          </w:p>
        </w:tc>
        <w:tc>
          <w:tcPr>
            <w:tcW w:w="1703" w:type="dxa"/>
          </w:tcPr>
          <w:p w14:paraId="1A66A6D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4</w:t>
            </w:r>
          </w:p>
        </w:tc>
      </w:tr>
      <w:tr w14:paraId="2FD0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91" w:type="dxa"/>
            <w:vMerge w:val="continue"/>
          </w:tcPr>
          <w:p w14:paraId="5BC80853">
            <w:pPr>
              <w:overflowPunct w:val="0"/>
              <w:autoSpaceDE w:val="0"/>
              <w:autoSpaceDN w:val="0"/>
              <w:adjustRightInd w:val="0"/>
              <w:spacing w:after="120" w:line="276" w:lineRule="auto"/>
              <w:textAlignment w:val="baseline"/>
              <w:rPr>
                <w:rFonts w:eastAsia="宋体"/>
                <w:sz w:val="20"/>
                <w:szCs w:val="20"/>
              </w:rPr>
            </w:pPr>
          </w:p>
        </w:tc>
        <w:tc>
          <w:tcPr>
            <w:tcW w:w="3056" w:type="dxa"/>
          </w:tcPr>
          <w:p w14:paraId="1B98BC4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OFDM symbol in the PRB used for CSI-RS </w:t>
            </w:r>
          </w:p>
        </w:tc>
        <w:tc>
          <w:tcPr>
            <w:tcW w:w="1554" w:type="dxa"/>
          </w:tcPr>
          <w:p w14:paraId="71DF64EC">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A7E929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c>
          <w:tcPr>
            <w:tcW w:w="1703" w:type="dxa"/>
          </w:tcPr>
          <w:p w14:paraId="7B38F42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r>
      <w:tr w14:paraId="1747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005FF969">
            <w:pPr>
              <w:overflowPunct w:val="0"/>
              <w:autoSpaceDE w:val="0"/>
              <w:autoSpaceDN w:val="0"/>
              <w:adjustRightInd w:val="0"/>
              <w:spacing w:after="120" w:line="276" w:lineRule="auto"/>
              <w:textAlignment w:val="baseline"/>
              <w:rPr>
                <w:rFonts w:eastAsia="宋体"/>
                <w:sz w:val="20"/>
                <w:szCs w:val="20"/>
              </w:rPr>
            </w:pPr>
          </w:p>
        </w:tc>
        <w:tc>
          <w:tcPr>
            <w:tcW w:w="3056" w:type="dxa"/>
          </w:tcPr>
          <w:p w14:paraId="5979BFF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CSI-RS ports (X)</w:t>
            </w:r>
          </w:p>
        </w:tc>
        <w:tc>
          <w:tcPr>
            <w:tcW w:w="1554" w:type="dxa"/>
          </w:tcPr>
          <w:p w14:paraId="06A3ED3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7401640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03" w:type="dxa"/>
          </w:tcPr>
          <w:p w14:paraId="7787588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r>
      <w:tr w14:paraId="0EBD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3DF2B24F">
            <w:pPr>
              <w:overflowPunct w:val="0"/>
              <w:autoSpaceDE w:val="0"/>
              <w:autoSpaceDN w:val="0"/>
              <w:adjustRightInd w:val="0"/>
              <w:spacing w:after="120" w:line="276" w:lineRule="auto"/>
              <w:textAlignment w:val="baseline"/>
              <w:rPr>
                <w:rFonts w:eastAsia="宋体"/>
                <w:sz w:val="20"/>
                <w:szCs w:val="20"/>
              </w:rPr>
            </w:pPr>
          </w:p>
        </w:tc>
        <w:tc>
          <w:tcPr>
            <w:tcW w:w="3056" w:type="dxa"/>
          </w:tcPr>
          <w:p w14:paraId="1A74A96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CDM Type</w:t>
            </w:r>
          </w:p>
        </w:tc>
        <w:tc>
          <w:tcPr>
            <w:tcW w:w="1554" w:type="dxa"/>
          </w:tcPr>
          <w:p w14:paraId="09B00234">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08AE5AB5">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c>
          <w:tcPr>
            <w:tcW w:w="1703" w:type="dxa"/>
          </w:tcPr>
          <w:p w14:paraId="2BC9A96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r>
      <w:tr w14:paraId="5B97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1157ECDD">
            <w:pPr>
              <w:overflowPunct w:val="0"/>
              <w:autoSpaceDE w:val="0"/>
              <w:autoSpaceDN w:val="0"/>
              <w:adjustRightInd w:val="0"/>
              <w:spacing w:after="120" w:line="276" w:lineRule="auto"/>
              <w:textAlignment w:val="baseline"/>
              <w:rPr>
                <w:rFonts w:eastAsia="宋体"/>
                <w:sz w:val="20"/>
                <w:szCs w:val="20"/>
              </w:rPr>
            </w:pPr>
          </w:p>
        </w:tc>
        <w:tc>
          <w:tcPr>
            <w:tcW w:w="3056" w:type="dxa"/>
          </w:tcPr>
          <w:p w14:paraId="2294A97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Density (ρ)</w:t>
            </w:r>
          </w:p>
        </w:tc>
        <w:tc>
          <w:tcPr>
            <w:tcW w:w="1554" w:type="dxa"/>
          </w:tcPr>
          <w:p w14:paraId="2800145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31D0BD91">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03" w:type="dxa"/>
          </w:tcPr>
          <w:p w14:paraId="6BAC99A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14:paraId="7E21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291" w:type="dxa"/>
            <w:vMerge w:val="continue"/>
          </w:tcPr>
          <w:p w14:paraId="548CA406">
            <w:pPr>
              <w:overflowPunct w:val="0"/>
              <w:autoSpaceDE w:val="0"/>
              <w:autoSpaceDN w:val="0"/>
              <w:adjustRightInd w:val="0"/>
              <w:spacing w:after="120" w:line="276" w:lineRule="auto"/>
              <w:textAlignment w:val="baseline"/>
              <w:rPr>
                <w:rFonts w:eastAsia="宋体"/>
                <w:sz w:val="20"/>
                <w:szCs w:val="20"/>
              </w:rPr>
            </w:pPr>
          </w:p>
        </w:tc>
        <w:tc>
          <w:tcPr>
            <w:tcW w:w="3056" w:type="dxa"/>
          </w:tcPr>
          <w:p w14:paraId="4E8E1C8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periodicity</w:t>
            </w:r>
          </w:p>
        </w:tc>
        <w:tc>
          <w:tcPr>
            <w:tcW w:w="1554" w:type="dxa"/>
          </w:tcPr>
          <w:p w14:paraId="6E8A414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694" w:type="dxa"/>
          </w:tcPr>
          <w:p w14:paraId="6750985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20</w:t>
            </w:r>
          </w:p>
        </w:tc>
        <w:tc>
          <w:tcPr>
            <w:tcW w:w="1703" w:type="dxa"/>
          </w:tcPr>
          <w:p w14:paraId="4AFFF4D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40</w:t>
            </w:r>
          </w:p>
        </w:tc>
      </w:tr>
      <w:tr w14:paraId="7B94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91" w:type="dxa"/>
            <w:vMerge w:val="continue"/>
          </w:tcPr>
          <w:p w14:paraId="6855942C">
            <w:pPr>
              <w:overflowPunct w:val="0"/>
              <w:autoSpaceDE w:val="0"/>
              <w:autoSpaceDN w:val="0"/>
              <w:adjustRightInd w:val="0"/>
              <w:spacing w:after="120" w:line="276" w:lineRule="auto"/>
              <w:textAlignment w:val="baseline"/>
              <w:rPr>
                <w:rFonts w:eastAsia="宋体"/>
                <w:sz w:val="20"/>
                <w:szCs w:val="20"/>
              </w:rPr>
            </w:pPr>
          </w:p>
        </w:tc>
        <w:tc>
          <w:tcPr>
            <w:tcW w:w="3056" w:type="dxa"/>
          </w:tcPr>
          <w:p w14:paraId="7681D15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offset</w:t>
            </w:r>
          </w:p>
        </w:tc>
        <w:tc>
          <w:tcPr>
            <w:tcW w:w="1554" w:type="dxa"/>
          </w:tcPr>
          <w:p w14:paraId="19C3D530">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694" w:type="dxa"/>
          </w:tcPr>
          <w:p w14:paraId="2963500F">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c>
          <w:tcPr>
            <w:tcW w:w="1703" w:type="dxa"/>
          </w:tcPr>
          <w:p w14:paraId="2BF2139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r>
      <w:tr w14:paraId="7881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291" w:type="dxa"/>
            <w:vMerge w:val="continue"/>
          </w:tcPr>
          <w:p w14:paraId="57C6BF62">
            <w:pPr>
              <w:overflowPunct w:val="0"/>
              <w:autoSpaceDE w:val="0"/>
              <w:autoSpaceDN w:val="0"/>
              <w:adjustRightInd w:val="0"/>
              <w:spacing w:after="120" w:line="276" w:lineRule="auto"/>
              <w:textAlignment w:val="baseline"/>
              <w:rPr>
                <w:rFonts w:eastAsia="宋体"/>
                <w:sz w:val="20"/>
                <w:szCs w:val="20"/>
              </w:rPr>
            </w:pPr>
          </w:p>
        </w:tc>
        <w:tc>
          <w:tcPr>
            <w:tcW w:w="3056" w:type="dxa"/>
            <w:vMerge w:val="restart"/>
          </w:tcPr>
          <w:p w14:paraId="1D6CC537">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Frequency Occupation</w:t>
            </w:r>
          </w:p>
        </w:tc>
        <w:tc>
          <w:tcPr>
            <w:tcW w:w="1554" w:type="dxa"/>
            <w:vMerge w:val="restart"/>
          </w:tcPr>
          <w:p w14:paraId="21218E3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2907F02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c>
          <w:tcPr>
            <w:tcW w:w="1703" w:type="dxa"/>
          </w:tcPr>
          <w:p w14:paraId="322D376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r>
      <w:tr w14:paraId="789A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291" w:type="dxa"/>
            <w:vMerge w:val="continue"/>
          </w:tcPr>
          <w:p w14:paraId="09A31ACD">
            <w:pPr>
              <w:overflowPunct w:val="0"/>
              <w:autoSpaceDE w:val="0"/>
              <w:autoSpaceDN w:val="0"/>
              <w:adjustRightInd w:val="0"/>
              <w:spacing w:after="120" w:line="276" w:lineRule="auto"/>
              <w:textAlignment w:val="baseline"/>
              <w:rPr>
                <w:rFonts w:eastAsia="宋体"/>
                <w:sz w:val="20"/>
                <w:szCs w:val="20"/>
              </w:rPr>
            </w:pPr>
          </w:p>
        </w:tc>
        <w:tc>
          <w:tcPr>
            <w:tcW w:w="3056" w:type="dxa"/>
            <w:vMerge w:val="continue"/>
          </w:tcPr>
          <w:p w14:paraId="5F6CECAD">
            <w:pPr>
              <w:overflowPunct w:val="0"/>
              <w:autoSpaceDE w:val="0"/>
              <w:autoSpaceDN w:val="0"/>
              <w:adjustRightInd w:val="0"/>
              <w:spacing w:after="120" w:line="276" w:lineRule="auto"/>
              <w:textAlignment w:val="baseline"/>
              <w:rPr>
                <w:rFonts w:eastAsia="宋体"/>
                <w:sz w:val="20"/>
                <w:szCs w:val="20"/>
              </w:rPr>
            </w:pPr>
          </w:p>
        </w:tc>
        <w:tc>
          <w:tcPr>
            <w:tcW w:w="1554" w:type="dxa"/>
            <w:vMerge w:val="continue"/>
          </w:tcPr>
          <w:p w14:paraId="301F6AB0">
            <w:pPr>
              <w:overflowPunct w:val="0"/>
              <w:autoSpaceDE w:val="0"/>
              <w:autoSpaceDN w:val="0"/>
              <w:adjustRightInd w:val="0"/>
              <w:spacing w:after="120" w:line="276" w:lineRule="auto"/>
              <w:textAlignment w:val="baseline"/>
              <w:rPr>
                <w:rFonts w:eastAsia="宋体"/>
                <w:sz w:val="20"/>
                <w:szCs w:val="20"/>
              </w:rPr>
            </w:pPr>
          </w:p>
        </w:tc>
        <w:tc>
          <w:tcPr>
            <w:tcW w:w="1694" w:type="dxa"/>
          </w:tcPr>
          <w:p w14:paraId="4B649DD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c>
          <w:tcPr>
            <w:tcW w:w="1703" w:type="dxa"/>
          </w:tcPr>
          <w:p w14:paraId="1DB6F20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r>
      <w:tr w14:paraId="1F7D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347" w:type="dxa"/>
            <w:gridSpan w:val="2"/>
          </w:tcPr>
          <w:p w14:paraId="37BAD1DD">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Maximum number of HARQ transmission</w:t>
            </w:r>
          </w:p>
        </w:tc>
        <w:tc>
          <w:tcPr>
            <w:tcW w:w="1554" w:type="dxa"/>
          </w:tcPr>
          <w:p w14:paraId="11D04F56">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557FD58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03" w:type="dxa"/>
          </w:tcPr>
          <w:p w14:paraId="34F9FDD8">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r>
      <w:tr w14:paraId="2475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4347" w:type="dxa"/>
            <w:gridSpan w:val="2"/>
          </w:tcPr>
          <w:p w14:paraId="4171FE1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HARQ Processes</w:t>
            </w:r>
          </w:p>
        </w:tc>
        <w:tc>
          <w:tcPr>
            <w:tcW w:w="1554" w:type="dxa"/>
          </w:tcPr>
          <w:p w14:paraId="1E538893">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694" w:type="dxa"/>
          </w:tcPr>
          <w:p w14:paraId="0CF9181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03" w:type="dxa"/>
          </w:tcPr>
          <w:p w14:paraId="519364A9">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8</w:t>
            </w:r>
          </w:p>
        </w:tc>
      </w:tr>
      <w:tr w14:paraId="5EFA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347" w:type="dxa"/>
            <w:gridSpan w:val="2"/>
          </w:tcPr>
          <w:p w14:paraId="047A6B0E">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Test metric</w:t>
            </w:r>
          </w:p>
        </w:tc>
        <w:tc>
          <w:tcPr>
            <w:tcW w:w="1554" w:type="dxa"/>
          </w:tcPr>
          <w:p w14:paraId="05B3B1CA">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3397" w:type="dxa"/>
            <w:gridSpan w:val="2"/>
          </w:tcPr>
          <w:p w14:paraId="00B57C3B">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70% of max throughput at target SNR.</w:t>
            </w:r>
          </w:p>
        </w:tc>
      </w:tr>
      <w:bookmarkEnd w:id="34"/>
    </w:tbl>
    <w:p w14:paraId="661A5E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bookmarkStart w:id="36" w:name="OLE_LINK12"/>
      <w:bookmarkStart w:id="37" w:name="OLE_LINK51"/>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eastAsia" w:ascii="Times New Roman" w:hAnsi="Times New Roman" w:cs="Times New Roman"/>
          <w:b/>
          <w:bCs/>
          <w:i/>
          <w:iCs/>
          <w:sz w:val="20"/>
          <w:szCs w:val="20"/>
          <w:lang w:val="en-US" w:eastAsia="zh-CN"/>
        </w:rPr>
        <w:t xml:space="preserve">: </w:t>
      </w:r>
      <w:r>
        <w:rPr>
          <w:rFonts w:hint="eastAsia"/>
          <w:b/>
          <w:bCs/>
          <w:i/>
          <w:iCs/>
          <w:kern w:val="2"/>
          <w:sz w:val="20"/>
          <w:szCs w:val="20"/>
          <w:lang w:val="en-US" w:eastAsia="zh-CN"/>
        </w:rPr>
        <w:t>For other simulation assumptions, the agreements from Rel-18 can be reused, including:</w:t>
      </w:r>
    </w:p>
    <w:bookmarkEnd w:id="36"/>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3042"/>
        <w:gridCol w:w="1547"/>
        <w:gridCol w:w="1687"/>
        <w:gridCol w:w="1696"/>
      </w:tblGrid>
      <w:tr w14:paraId="14E4A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3B20B3FE">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Parameter</w:t>
            </w:r>
          </w:p>
        </w:tc>
        <w:tc>
          <w:tcPr>
            <w:tcW w:w="1547" w:type="dxa"/>
          </w:tcPr>
          <w:p w14:paraId="61B331A4">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Unit</w:t>
            </w:r>
          </w:p>
        </w:tc>
        <w:tc>
          <w:tcPr>
            <w:tcW w:w="1687" w:type="dxa"/>
          </w:tcPr>
          <w:p w14:paraId="2F1BEE6D">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Test 1</w:t>
            </w:r>
          </w:p>
        </w:tc>
        <w:tc>
          <w:tcPr>
            <w:tcW w:w="1696" w:type="dxa"/>
          </w:tcPr>
          <w:p w14:paraId="5AF1086E">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Test 2</w:t>
            </w:r>
          </w:p>
        </w:tc>
      </w:tr>
      <w:tr w14:paraId="2CFC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EBE1CC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range</w:t>
            </w:r>
          </w:p>
        </w:tc>
        <w:tc>
          <w:tcPr>
            <w:tcW w:w="1547" w:type="dxa"/>
          </w:tcPr>
          <w:p w14:paraId="786DB17E">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　</w:t>
            </w:r>
          </w:p>
        </w:tc>
        <w:tc>
          <w:tcPr>
            <w:tcW w:w="1687" w:type="dxa"/>
          </w:tcPr>
          <w:p w14:paraId="6607C70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FR1</w:t>
            </w:r>
          </w:p>
        </w:tc>
        <w:tc>
          <w:tcPr>
            <w:tcW w:w="1696" w:type="dxa"/>
          </w:tcPr>
          <w:p w14:paraId="1D38B03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FR1</w:t>
            </w:r>
          </w:p>
        </w:tc>
      </w:tr>
      <w:tr w14:paraId="4310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4353EEF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Bandwidth</w:t>
            </w:r>
          </w:p>
        </w:tc>
        <w:tc>
          <w:tcPr>
            <w:tcW w:w="1547" w:type="dxa"/>
          </w:tcPr>
          <w:p w14:paraId="4006E67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MHz</w:t>
            </w:r>
          </w:p>
        </w:tc>
        <w:tc>
          <w:tcPr>
            <w:tcW w:w="1687" w:type="dxa"/>
          </w:tcPr>
          <w:p w14:paraId="28D28CE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10</w:t>
            </w:r>
          </w:p>
        </w:tc>
        <w:tc>
          <w:tcPr>
            <w:tcW w:w="1696" w:type="dxa"/>
          </w:tcPr>
          <w:p w14:paraId="6A3F78A9">
            <w:pPr>
              <w:overflowPunct w:val="0"/>
              <w:autoSpaceDE w:val="0"/>
              <w:autoSpaceDN w:val="0"/>
              <w:adjustRightInd w:val="0"/>
              <w:spacing w:after="120" w:line="276" w:lineRule="auto"/>
              <w:textAlignment w:val="baseline"/>
              <w:rPr>
                <w:i/>
                <w:iCs/>
                <w:sz w:val="20"/>
                <w:szCs w:val="20"/>
              </w:rPr>
            </w:pPr>
            <w:r>
              <w:rPr>
                <w:rFonts w:eastAsia="宋体"/>
                <w:i/>
                <w:iCs/>
                <w:sz w:val="20"/>
                <w:szCs w:val="20"/>
              </w:rPr>
              <w:t>40</w:t>
            </w:r>
          </w:p>
        </w:tc>
      </w:tr>
      <w:tr w14:paraId="28CE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28AECAD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Subcarrier spacing</w:t>
            </w:r>
          </w:p>
        </w:tc>
        <w:tc>
          <w:tcPr>
            <w:tcW w:w="1547" w:type="dxa"/>
          </w:tcPr>
          <w:p w14:paraId="124C0FC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kHz</w:t>
            </w:r>
          </w:p>
        </w:tc>
        <w:tc>
          <w:tcPr>
            <w:tcW w:w="1687" w:type="dxa"/>
          </w:tcPr>
          <w:p w14:paraId="5EE2B9B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15</w:t>
            </w:r>
          </w:p>
        </w:tc>
        <w:tc>
          <w:tcPr>
            <w:tcW w:w="1696" w:type="dxa"/>
          </w:tcPr>
          <w:p w14:paraId="2C13150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30</w:t>
            </w:r>
          </w:p>
        </w:tc>
      </w:tr>
      <w:tr w14:paraId="28CC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7A7AA71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Duplex Mode</w:t>
            </w:r>
          </w:p>
        </w:tc>
        <w:tc>
          <w:tcPr>
            <w:tcW w:w="1547" w:type="dxa"/>
          </w:tcPr>
          <w:p w14:paraId="351FACB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DA0EED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FDD</w:t>
            </w:r>
          </w:p>
        </w:tc>
        <w:tc>
          <w:tcPr>
            <w:tcW w:w="1696" w:type="dxa"/>
          </w:tcPr>
          <w:p w14:paraId="656CB4B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TDD</w:t>
            </w:r>
          </w:p>
        </w:tc>
      </w:tr>
      <w:tr w14:paraId="7D42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328" w:type="dxa"/>
            <w:gridSpan w:val="2"/>
          </w:tcPr>
          <w:p w14:paraId="72DA690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Propagation channel</w:t>
            </w:r>
          </w:p>
        </w:tc>
        <w:tc>
          <w:tcPr>
            <w:tcW w:w="1547" w:type="dxa"/>
          </w:tcPr>
          <w:p w14:paraId="26C9D51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BFF5AD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AWGN+220Hz doppler</w:t>
            </w:r>
          </w:p>
        </w:tc>
        <w:tc>
          <w:tcPr>
            <w:tcW w:w="1696" w:type="dxa"/>
          </w:tcPr>
          <w:p w14:paraId="13811C5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AWGN+500Hz doppler</w:t>
            </w:r>
          </w:p>
        </w:tc>
      </w:tr>
      <w:tr w14:paraId="50F7D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28" w:type="dxa"/>
            <w:gridSpan w:val="2"/>
          </w:tcPr>
          <w:p w14:paraId="7CBB0F4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Beamforming Model  </w:t>
            </w:r>
          </w:p>
        </w:tc>
        <w:tc>
          <w:tcPr>
            <w:tcW w:w="1547" w:type="dxa"/>
          </w:tcPr>
          <w:p w14:paraId="71F569A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1F5A61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As defined in Annex B.4.1 in TS 38.101-4</w:t>
            </w:r>
          </w:p>
        </w:tc>
        <w:tc>
          <w:tcPr>
            <w:tcW w:w="1696" w:type="dxa"/>
          </w:tcPr>
          <w:p w14:paraId="4E3B5E9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As defined in Annex B.4.1 in TS 38.101-4</w:t>
            </w:r>
          </w:p>
        </w:tc>
      </w:tr>
      <w:tr w14:paraId="0280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4C60F8B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Receiver type</w:t>
            </w:r>
          </w:p>
        </w:tc>
        <w:tc>
          <w:tcPr>
            <w:tcW w:w="1547" w:type="dxa"/>
          </w:tcPr>
          <w:p w14:paraId="3978BC2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838F27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MMSE-IRC</w:t>
            </w:r>
          </w:p>
        </w:tc>
        <w:tc>
          <w:tcPr>
            <w:tcW w:w="1696" w:type="dxa"/>
          </w:tcPr>
          <w:p w14:paraId="7E1AF96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MMSE-IRC</w:t>
            </w:r>
          </w:p>
        </w:tc>
      </w:tr>
      <w:tr w14:paraId="47AA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36F01C9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PDSCH configuration</w:t>
            </w:r>
          </w:p>
        </w:tc>
        <w:tc>
          <w:tcPr>
            <w:tcW w:w="3042" w:type="dxa"/>
          </w:tcPr>
          <w:p w14:paraId="664F40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Mapping type</w:t>
            </w:r>
          </w:p>
        </w:tc>
        <w:tc>
          <w:tcPr>
            <w:tcW w:w="1547" w:type="dxa"/>
          </w:tcPr>
          <w:p w14:paraId="28E0631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67A27D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A</w:t>
            </w:r>
          </w:p>
        </w:tc>
        <w:tc>
          <w:tcPr>
            <w:tcW w:w="1696" w:type="dxa"/>
          </w:tcPr>
          <w:p w14:paraId="5AC9C72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A</w:t>
            </w:r>
          </w:p>
        </w:tc>
      </w:tr>
      <w:tr w14:paraId="4B55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5A0F2A6">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2018DC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Starting symbol (S)</w:t>
            </w:r>
          </w:p>
        </w:tc>
        <w:tc>
          <w:tcPr>
            <w:tcW w:w="1547" w:type="dxa"/>
          </w:tcPr>
          <w:p w14:paraId="59FAADD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32B669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27ED05D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3C06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A73E03F">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864B5D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Length (L)</w:t>
            </w:r>
          </w:p>
        </w:tc>
        <w:tc>
          <w:tcPr>
            <w:tcW w:w="1547" w:type="dxa"/>
          </w:tcPr>
          <w:p w14:paraId="0CB303A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DFBD30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12</w:t>
            </w:r>
          </w:p>
        </w:tc>
        <w:tc>
          <w:tcPr>
            <w:tcW w:w="1696" w:type="dxa"/>
          </w:tcPr>
          <w:p w14:paraId="0A55CCD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12</w:t>
            </w:r>
          </w:p>
        </w:tc>
      </w:tr>
      <w:tr w14:paraId="0C1E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AC7CD2B">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3EFFF19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PRB bundling size</w:t>
            </w:r>
          </w:p>
        </w:tc>
        <w:tc>
          <w:tcPr>
            <w:tcW w:w="1547" w:type="dxa"/>
          </w:tcPr>
          <w:p w14:paraId="0334F60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786D097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32FAD55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6002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91587FE">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5F2D99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PRB bundling type</w:t>
            </w:r>
          </w:p>
        </w:tc>
        <w:tc>
          <w:tcPr>
            <w:tcW w:w="1547" w:type="dxa"/>
          </w:tcPr>
          <w:p w14:paraId="133E2C4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B5BB9E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Static</w:t>
            </w:r>
          </w:p>
        </w:tc>
        <w:tc>
          <w:tcPr>
            <w:tcW w:w="1696" w:type="dxa"/>
          </w:tcPr>
          <w:p w14:paraId="5C4479A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Static</w:t>
            </w:r>
          </w:p>
        </w:tc>
      </w:tr>
      <w:tr w14:paraId="3940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986DD8C">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32E494E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VRB-to-PRB mapping interleaver bundle size</w:t>
            </w:r>
          </w:p>
        </w:tc>
        <w:tc>
          <w:tcPr>
            <w:tcW w:w="1547" w:type="dxa"/>
          </w:tcPr>
          <w:p w14:paraId="62A8B0D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A7A523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Non-interleaved</w:t>
            </w:r>
          </w:p>
        </w:tc>
        <w:tc>
          <w:tcPr>
            <w:tcW w:w="1696" w:type="dxa"/>
          </w:tcPr>
          <w:p w14:paraId="7F4CF4E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Non-interleaved</w:t>
            </w:r>
          </w:p>
        </w:tc>
      </w:tr>
      <w:tr w14:paraId="415B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009CD09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PDSCH DMRS configuration</w:t>
            </w:r>
          </w:p>
        </w:tc>
        <w:tc>
          <w:tcPr>
            <w:tcW w:w="3042" w:type="dxa"/>
          </w:tcPr>
          <w:p w14:paraId="6282774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DMRS Type</w:t>
            </w:r>
          </w:p>
        </w:tc>
        <w:tc>
          <w:tcPr>
            <w:tcW w:w="1547" w:type="dxa"/>
          </w:tcPr>
          <w:p w14:paraId="3CFDDB5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433468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1</w:t>
            </w:r>
          </w:p>
        </w:tc>
        <w:tc>
          <w:tcPr>
            <w:tcW w:w="1696" w:type="dxa"/>
          </w:tcPr>
          <w:p w14:paraId="7A9C584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1</w:t>
            </w:r>
          </w:p>
        </w:tc>
      </w:tr>
      <w:tr w14:paraId="4024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DA30E0A">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27BFD14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additional DMRS</w:t>
            </w:r>
          </w:p>
        </w:tc>
        <w:tc>
          <w:tcPr>
            <w:tcW w:w="1547" w:type="dxa"/>
          </w:tcPr>
          <w:p w14:paraId="748CDC8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69557B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7DC8025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10BC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66AF1BEA">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0338BFB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Maximum number of OFDM symbols for DL front loaded DMRS</w:t>
            </w:r>
          </w:p>
        </w:tc>
        <w:tc>
          <w:tcPr>
            <w:tcW w:w="1547" w:type="dxa"/>
          </w:tcPr>
          <w:p w14:paraId="6F6F6F9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2D5103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2805739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3500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restart"/>
          </w:tcPr>
          <w:p w14:paraId="7C8623D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NZP CSI-RS for CSI acquisition</w:t>
            </w:r>
          </w:p>
        </w:tc>
        <w:tc>
          <w:tcPr>
            <w:tcW w:w="3042" w:type="dxa"/>
          </w:tcPr>
          <w:p w14:paraId="1D92152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Row index (Note 3</w:t>
            </w:r>
            <w:r>
              <w:rPr>
                <w:rFonts w:eastAsia="宋体"/>
                <w:i/>
                <w:iCs/>
                <w:sz w:val="20"/>
                <w:szCs w:val="20"/>
                <w:vertAlign w:val="superscript"/>
              </w:rPr>
              <w:t>)</w:t>
            </w:r>
          </w:p>
        </w:tc>
        <w:tc>
          <w:tcPr>
            <w:tcW w:w="1547" w:type="dxa"/>
          </w:tcPr>
          <w:p w14:paraId="501E16A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8CEB63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w:t>
            </w:r>
          </w:p>
        </w:tc>
        <w:tc>
          <w:tcPr>
            <w:tcW w:w="1696" w:type="dxa"/>
          </w:tcPr>
          <w:p w14:paraId="1D6809B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w:t>
            </w:r>
          </w:p>
        </w:tc>
      </w:tr>
      <w:tr w14:paraId="6FDC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DCA523A">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66E9AAA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subcarrier index in the PRB used for CSI-RS </w:t>
            </w:r>
          </w:p>
        </w:tc>
        <w:tc>
          <w:tcPr>
            <w:tcW w:w="1547" w:type="dxa"/>
          </w:tcPr>
          <w:p w14:paraId="1EDEA81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FE7435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0</w:t>
            </w:r>
          </w:p>
        </w:tc>
        <w:tc>
          <w:tcPr>
            <w:tcW w:w="1696" w:type="dxa"/>
          </w:tcPr>
          <w:p w14:paraId="0AED656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0</w:t>
            </w:r>
          </w:p>
        </w:tc>
      </w:tr>
      <w:tr w14:paraId="7A03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2F54D156">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6179994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OFDM symbol in the PRB used for CSI-RS </w:t>
            </w:r>
          </w:p>
        </w:tc>
        <w:tc>
          <w:tcPr>
            <w:tcW w:w="1547" w:type="dxa"/>
          </w:tcPr>
          <w:p w14:paraId="63FA385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D24BD8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c>
          <w:tcPr>
            <w:tcW w:w="1696" w:type="dxa"/>
          </w:tcPr>
          <w:p w14:paraId="66831CC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r>
      <w:tr w14:paraId="1415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74BC726E">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0362A62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CSI-RS ports (X)</w:t>
            </w:r>
          </w:p>
        </w:tc>
        <w:tc>
          <w:tcPr>
            <w:tcW w:w="1547" w:type="dxa"/>
          </w:tcPr>
          <w:p w14:paraId="16A9088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314AF7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55B2163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13D3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0D603FF">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4E89A9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CDM Type</w:t>
            </w:r>
          </w:p>
        </w:tc>
        <w:tc>
          <w:tcPr>
            <w:tcW w:w="1547" w:type="dxa"/>
          </w:tcPr>
          <w:p w14:paraId="4F8B808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EEF910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c>
          <w:tcPr>
            <w:tcW w:w="1696" w:type="dxa"/>
          </w:tcPr>
          <w:p w14:paraId="5556536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r>
      <w:tr w14:paraId="7C5C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73B89DB">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6601530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Density (ρ)</w:t>
            </w:r>
          </w:p>
        </w:tc>
        <w:tc>
          <w:tcPr>
            <w:tcW w:w="1547" w:type="dxa"/>
          </w:tcPr>
          <w:p w14:paraId="08D3C24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0FBEFE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3CDC4AD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5E2B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66A308C">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01E2006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periodicity</w:t>
            </w:r>
          </w:p>
        </w:tc>
        <w:tc>
          <w:tcPr>
            <w:tcW w:w="1547" w:type="dxa"/>
          </w:tcPr>
          <w:p w14:paraId="4167E47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49B2E83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20</w:t>
            </w:r>
          </w:p>
        </w:tc>
        <w:tc>
          <w:tcPr>
            <w:tcW w:w="1696" w:type="dxa"/>
          </w:tcPr>
          <w:p w14:paraId="73F0AB1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40</w:t>
            </w:r>
          </w:p>
        </w:tc>
      </w:tr>
      <w:tr w14:paraId="1CA4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C2497C7">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5B075AB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offset</w:t>
            </w:r>
          </w:p>
        </w:tc>
        <w:tc>
          <w:tcPr>
            <w:tcW w:w="1547" w:type="dxa"/>
          </w:tcPr>
          <w:p w14:paraId="53833C7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5E7D284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c>
          <w:tcPr>
            <w:tcW w:w="1696" w:type="dxa"/>
          </w:tcPr>
          <w:p w14:paraId="1EA7CC6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r>
      <w:tr w14:paraId="5A60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05A6B12">
            <w:pPr>
              <w:overflowPunct w:val="0"/>
              <w:autoSpaceDE w:val="0"/>
              <w:autoSpaceDN w:val="0"/>
              <w:adjustRightInd w:val="0"/>
              <w:spacing w:after="120" w:line="276" w:lineRule="auto"/>
              <w:textAlignment w:val="baseline"/>
              <w:rPr>
                <w:rFonts w:eastAsia="宋体"/>
                <w:i/>
                <w:iCs/>
                <w:sz w:val="20"/>
                <w:szCs w:val="20"/>
              </w:rPr>
            </w:pPr>
          </w:p>
        </w:tc>
        <w:tc>
          <w:tcPr>
            <w:tcW w:w="3042" w:type="dxa"/>
            <w:vMerge w:val="restart"/>
          </w:tcPr>
          <w:p w14:paraId="47C18AB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Occupation</w:t>
            </w:r>
          </w:p>
        </w:tc>
        <w:tc>
          <w:tcPr>
            <w:tcW w:w="1547" w:type="dxa"/>
            <w:vMerge w:val="restart"/>
          </w:tcPr>
          <w:p w14:paraId="53418F9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DA4738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c>
          <w:tcPr>
            <w:tcW w:w="1696" w:type="dxa"/>
          </w:tcPr>
          <w:p w14:paraId="4BF5BF5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r>
      <w:tr w14:paraId="2E6F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0B351D30">
            <w:pPr>
              <w:overflowPunct w:val="0"/>
              <w:autoSpaceDE w:val="0"/>
              <w:autoSpaceDN w:val="0"/>
              <w:adjustRightInd w:val="0"/>
              <w:spacing w:after="120" w:line="276" w:lineRule="auto"/>
              <w:textAlignment w:val="baseline"/>
              <w:rPr>
                <w:rFonts w:eastAsia="宋体"/>
                <w:i/>
                <w:iCs/>
                <w:sz w:val="20"/>
                <w:szCs w:val="20"/>
              </w:rPr>
            </w:pPr>
          </w:p>
        </w:tc>
        <w:tc>
          <w:tcPr>
            <w:tcW w:w="3042" w:type="dxa"/>
            <w:vMerge w:val="continue"/>
          </w:tcPr>
          <w:p w14:paraId="2A542196">
            <w:pPr>
              <w:overflowPunct w:val="0"/>
              <w:autoSpaceDE w:val="0"/>
              <w:autoSpaceDN w:val="0"/>
              <w:adjustRightInd w:val="0"/>
              <w:spacing w:after="120" w:line="276" w:lineRule="auto"/>
              <w:textAlignment w:val="baseline"/>
              <w:rPr>
                <w:rFonts w:eastAsia="宋体"/>
                <w:i/>
                <w:iCs/>
                <w:sz w:val="20"/>
                <w:szCs w:val="20"/>
              </w:rPr>
            </w:pPr>
          </w:p>
        </w:tc>
        <w:tc>
          <w:tcPr>
            <w:tcW w:w="1547" w:type="dxa"/>
            <w:vMerge w:val="continue"/>
          </w:tcPr>
          <w:p w14:paraId="11CB2C28">
            <w:pPr>
              <w:overflowPunct w:val="0"/>
              <w:autoSpaceDE w:val="0"/>
              <w:autoSpaceDN w:val="0"/>
              <w:adjustRightInd w:val="0"/>
              <w:spacing w:after="120" w:line="276" w:lineRule="auto"/>
              <w:textAlignment w:val="baseline"/>
              <w:rPr>
                <w:rFonts w:eastAsia="宋体"/>
                <w:i/>
                <w:iCs/>
                <w:sz w:val="20"/>
                <w:szCs w:val="20"/>
              </w:rPr>
            </w:pPr>
          </w:p>
        </w:tc>
        <w:tc>
          <w:tcPr>
            <w:tcW w:w="1687" w:type="dxa"/>
          </w:tcPr>
          <w:p w14:paraId="4B2D1C1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c>
          <w:tcPr>
            <w:tcW w:w="1696" w:type="dxa"/>
          </w:tcPr>
          <w:p w14:paraId="5B32956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r>
      <w:tr w14:paraId="08D7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FA99C76">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897B4A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QCL info</w:t>
            </w:r>
          </w:p>
        </w:tc>
        <w:tc>
          <w:tcPr>
            <w:tcW w:w="1547" w:type="dxa"/>
          </w:tcPr>
          <w:p w14:paraId="45233B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2ECE36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TCI state #1</w:t>
            </w:r>
          </w:p>
        </w:tc>
        <w:tc>
          <w:tcPr>
            <w:tcW w:w="1696" w:type="dxa"/>
          </w:tcPr>
          <w:p w14:paraId="7322006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TCI state #1</w:t>
            </w:r>
          </w:p>
        </w:tc>
      </w:tr>
      <w:tr w14:paraId="01BE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4C32A65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ZP CSI-RS for CSI acquisition</w:t>
            </w:r>
          </w:p>
        </w:tc>
        <w:tc>
          <w:tcPr>
            <w:tcW w:w="3042" w:type="dxa"/>
          </w:tcPr>
          <w:p w14:paraId="758E7D2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Row index (Note 3)</w:t>
            </w:r>
          </w:p>
        </w:tc>
        <w:tc>
          <w:tcPr>
            <w:tcW w:w="1547" w:type="dxa"/>
          </w:tcPr>
          <w:p w14:paraId="664B9A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7E7415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5</w:t>
            </w:r>
          </w:p>
        </w:tc>
        <w:tc>
          <w:tcPr>
            <w:tcW w:w="1696" w:type="dxa"/>
          </w:tcPr>
          <w:p w14:paraId="4D1BF45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5</w:t>
            </w:r>
          </w:p>
        </w:tc>
      </w:tr>
      <w:tr w14:paraId="2C7E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79D497D0">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5242D66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subcarrier index in the PRB used for CSI-RS </w:t>
            </w:r>
          </w:p>
        </w:tc>
        <w:tc>
          <w:tcPr>
            <w:tcW w:w="1547" w:type="dxa"/>
          </w:tcPr>
          <w:p w14:paraId="4A7FE21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731E72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4</w:t>
            </w:r>
          </w:p>
        </w:tc>
        <w:tc>
          <w:tcPr>
            <w:tcW w:w="1696" w:type="dxa"/>
          </w:tcPr>
          <w:p w14:paraId="6B961E7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4</w:t>
            </w:r>
          </w:p>
        </w:tc>
      </w:tr>
      <w:tr w14:paraId="351E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65EB75E">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E397B6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OFDM symbol in the PRB used for CSI-RS </w:t>
            </w:r>
          </w:p>
        </w:tc>
        <w:tc>
          <w:tcPr>
            <w:tcW w:w="1547" w:type="dxa"/>
          </w:tcPr>
          <w:p w14:paraId="36A73EC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1F94BF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c>
          <w:tcPr>
            <w:tcW w:w="1696" w:type="dxa"/>
          </w:tcPr>
          <w:p w14:paraId="26BDE14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r>
      <w:tr w14:paraId="5411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D323A00">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5924C9A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CSI-RS ports (X)</w:t>
            </w:r>
          </w:p>
        </w:tc>
        <w:tc>
          <w:tcPr>
            <w:tcW w:w="1547" w:type="dxa"/>
          </w:tcPr>
          <w:p w14:paraId="46B524B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273E2E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68D83A4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r>
      <w:tr w14:paraId="0371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06B1FAB">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6C8042F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CDM Type</w:t>
            </w:r>
          </w:p>
        </w:tc>
        <w:tc>
          <w:tcPr>
            <w:tcW w:w="1547" w:type="dxa"/>
          </w:tcPr>
          <w:p w14:paraId="7C6871F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6E17D1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c>
          <w:tcPr>
            <w:tcW w:w="1696" w:type="dxa"/>
          </w:tcPr>
          <w:p w14:paraId="0DFCB7A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r>
      <w:tr w14:paraId="276B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86" w:type="dxa"/>
            <w:vMerge w:val="continue"/>
          </w:tcPr>
          <w:p w14:paraId="02C47B5D">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59100E8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Density (ρ)</w:t>
            </w:r>
          </w:p>
        </w:tc>
        <w:tc>
          <w:tcPr>
            <w:tcW w:w="1547" w:type="dxa"/>
          </w:tcPr>
          <w:p w14:paraId="68706E0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3FCF78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4FBEFAA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045B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86" w:type="dxa"/>
            <w:vMerge w:val="continue"/>
          </w:tcPr>
          <w:p w14:paraId="2CD75AC0">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0C0137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periodicity</w:t>
            </w:r>
          </w:p>
        </w:tc>
        <w:tc>
          <w:tcPr>
            <w:tcW w:w="1547" w:type="dxa"/>
          </w:tcPr>
          <w:p w14:paraId="3D89657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5FBD749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20</w:t>
            </w:r>
          </w:p>
        </w:tc>
        <w:tc>
          <w:tcPr>
            <w:tcW w:w="1696" w:type="dxa"/>
          </w:tcPr>
          <w:p w14:paraId="21FDC5D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40</w:t>
            </w:r>
          </w:p>
        </w:tc>
      </w:tr>
      <w:tr w14:paraId="06C9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352D7005">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BB8AAF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offset</w:t>
            </w:r>
          </w:p>
        </w:tc>
        <w:tc>
          <w:tcPr>
            <w:tcW w:w="1547" w:type="dxa"/>
          </w:tcPr>
          <w:p w14:paraId="2F4712B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48B24BA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c>
          <w:tcPr>
            <w:tcW w:w="1696" w:type="dxa"/>
          </w:tcPr>
          <w:p w14:paraId="3782A41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r>
      <w:tr w14:paraId="41F1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1C1B03B2">
            <w:pPr>
              <w:overflowPunct w:val="0"/>
              <w:autoSpaceDE w:val="0"/>
              <w:autoSpaceDN w:val="0"/>
              <w:adjustRightInd w:val="0"/>
              <w:spacing w:after="120" w:line="276" w:lineRule="auto"/>
              <w:textAlignment w:val="baseline"/>
              <w:rPr>
                <w:rFonts w:eastAsia="宋体"/>
                <w:i/>
                <w:iCs/>
                <w:sz w:val="20"/>
                <w:szCs w:val="20"/>
              </w:rPr>
            </w:pPr>
          </w:p>
        </w:tc>
        <w:tc>
          <w:tcPr>
            <w:tcW w:w="3042" w:type="dxa"/>
            <w:vMerge w:val="restart"/>
          </w:tcPr>
          <w:p w14:paraId="668AF65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Occupation</w:t>
            </w:r>
          </w:p>
        </w:tc>
        <w:tc>
          <w:tcPr>
            <w:tcW w:w="1547" w:type="dxa"/>
            <w:vMerge w:val="restart"/>
          </w:tcPr>
          <w:p w14:paraId="038EB40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5105B7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c>
          <w:tcPr>
            <w:tcW w:w="1696" w:type="dxa"/>
          </w:tcPr>
          <w:p w14:paraId="12EDB8B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r>
      <w:tr w14:paraId="423F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1BF7C00E">
            <w:pPr>
              <w:overflowPunct w:val="0"/>
              <w:autoSpaceDE w:val="0"/>
              <w:autoSpaceDN w:val="0"/>
              <w:adjustRightInd w:val="0"/>
              <w:spacing w:after="120" w:line="276" w:lineRule="auto"/>
              <w:textAlignment w:val="baseline"/>
              <w:rPr>
                <w:rFonts w:eastAsia="宋体"/>
                <w:i/>
                <w:iCs/>
                <w:sz w:val="20"/>
                <w:szCs w:val="20"/>
              </w:rPr>
            </w:pPr>
          </w:p>
        </w:tc>
        <w:tc>
          <w:tcPr>
            <w:tcW w:w="3042" w:type="dxa"/>
            <w:vMerge w:val="continue"/>
          </w:tcPr>
          <w:p w14:paraId="1F68057D">
            <w:pPr>
              <w:overflowPunct w:val="0"/>
              <w:autoSpaceDE w:val="0"/>
              <w:autoSpaceDN w:val="0"/>
              <w:adjustRightInd w:val="0"/>
              <w:spacing w:after="120" w:line="276" w:lineRule="auto"/>
              <w:textAlignment w:val="baseline"/>
              <w:rPr>
                <w:rFonts w:eastAsia="宋体"/>
                <w:i/>
                <w:iCs/>
                <w:sz w:val="20"/>
                <w:szCs w:val="20"/>
              </w:rPr>
            </w:pPr>
          </w:p>
        </w:tc>
        <w:tc>
          <w:tcPr>
            <w:tcW w:w="1547" w:type="dxa"/>
            <w:vMerge w:val="continue"/>
          </w:tcPr>
          <w:p w14:paraId="4527B107">
            <w:pPr>
              <w:overflowPunct w:val="0"/>
              <w:autoSpaceDE w:val="0"/>
              <w:autoSpaceDN w:val="0"/>
              <w:adjustRightInd w:val="0"/>
              <w:spacing w:after="120" w:line="276" w:lineRule="auto"/>
              <w:textAlignment w:val="baseline"/>
              <w:rPr>
                <w:rFonts w:eastAsia="宋体"/>
                <w:i/>
                <w:iCs/>
                <w:sz w:val="20"/>
                <w:szCs w:val="20"/>
              </w:rPr>
            </w:pPr>
          </w:p>
        </w:tc>
        <w:tc>
          <w:tcPr>
            <w:tcW w:w="1687" w:type="dxa"/>
          </w:tcPr>
          <w:p w14:paraId="123BB52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c>
          <w:tcPr>
            <w:tcW w:w="1696" w:type="dxa"/>
          </w:tcPr>
          <w:p w14:paraId="780CC6E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r>
      <w:tr w14:paraId="4AF8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27F94BC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Maximum number of HARQ transmission</w:t>
            </w:r>
          </w:p>
        </w:tc>
        <w:tc>
          <w:tcPr>
            <w:tcW w:w="1547" w:type="dxa"/>
          </w:tcPr>
          <w:p w14:paraId="66E6300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B57F23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1BE81C2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r>
      <w:tr w14:paraId="5048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655A144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HARQ Processes</w:t>
            </w:r>
          </w:p>
        </w:tc>
        <w:tc>
          <w:tcPr>
            <w:tcW w:w="1547" w:type="dxa"/>
          </w:tcPr>
          <w:p w14:paraId="62F0437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01EE65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2138E63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8</w:t>
            </w:r>
          </w:p>
        </w:tc>
      </w:tr>
      <w:tr w14:paraId="057B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4328" w:type="dxa"/>
            <w:gridSpan w:val="2"/>
          </w:tcPr>
          <w:p w14:paraId="7111B4A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Test metric</w:t>
            </w:r>
          </w:p>
        </w:tc>
        <w:tc>
          <w:tcPr>
            <w:tcW w:w="1547" w:type="dxa"/>
          </w:tcPr>
          <w:p w14:paraId="42BD973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3383" w:type="dxa"/>
            <w:gridSpan w:val="2"/>
          </w:tcPr>
          <w:p w14:paraId="5BAEED4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70% of max throughput at target SNR.</w:t>
            </w:r>
          </w:p>
        </w:tc>
      </w:tr>
      <w:bookmarkEnd w:id="37"/>
    </w:tbl>
    <w:p w14:paraId="1E29E0E9">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b w:val="0"/>
          <w:bCs w:val="0"/>
          <w:kern w:val="0"/>
          <w:sz w:val="20"/>
          <w:szCs w:val="20"/>
          <w:lang w:val="en-US" w:eastAsia="zh-CN"/>
        </w:rPr>
      </w:pPr>
    </w:p>
    <w:p w14:paraId="50C7C714">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rPr>
      </w:pPr>
      <w:bookmarkStart w:id="38" w:name="OLE_LINK15"/>
      <w:r>
        <w:rPr>
          <w:rFonts w:hint="eastAsia" w:ascii="Times New Roman" w:hAnsi="Times New Roman"/>
          <w:b w:val="0"/>
          <w:bCs w:val="0"/>
          <w:kern w:val="0"/>
          <w:sz w:val="36"/>
          <w:szCs w:val="36"/>
          <w:lang w:val="en-US" w:eastAsia="zh-CN"/>
        </w:rPr>
        <w:t>DL MIMO related UE CSI requirement</w:t>
      </w:r>
    </w:p>
    <w:bookmarkEnd w:id="38"/>
    <w:p w14:paraId="03F82729">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0"/>
          <w:szCs w:val="20"/>
          <w:u w:val="single"/>
          <w:lang w:val="en-US" w:eastAsia="zh-CN"/>
        </w:rPr>
      </w:pPr>
      <w:r>
        <w:rPr>
          <w:rFonts w:hint="eastAsia"/>
          <w:b/>
          <w:sz w:val="20"/>
          <w:szCs w:val="20"/>
          <w:u w:val="single"/>
          <w:lang w:val="en-US" w:eastAsia="zh-CN"/>
        </w:rPr>
        <w:t>PMI requirement</w:t>
      </w:r>
    </w:p>
    <w:p w14:paraId="4628ED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ascii="Times New Roman" w:hAnsi="Times New Roman" w:cs="Times New Roman"/>
          <w:sz w:val="20"/>
          <w:szCs w:val="20"/>
          <w:lang w:val="en-US" w:eastAsia="zh-CN"/>
        </w:rPr>
        <w:t>For ATG MIMO, the spatial diversity comes from antenna polarization, instead of channel</w:t>
      </w:r>
      <w:r>
        <w:rPr>
          <w:rFonts w:hint="eastAsia" w:cs="Times New Roman"/>
          <w:sz w:val="20"/>
          <w:szCs w:val="20"/>
          <w:lang w:val="en-US" w:eastAsia="zh-CN"/>
        </w:rPr>
        <w:t xml:space="preserve"> characteristics.</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Hence, we think no need to introduce </w:t>
      </w:r>
      <w:r>
        <w:rPr>
          <w:rFonts w:hint="eastAsia" w:ascii="Times New Roman" w:hAnsi="Times New Roman" w:cs="Times New Roman"/>
          <w:sz w:val="20"/>
          <w:szCs w:val="20"/>
          <w:lang w:val="en-US" w:eastAsia="zh-CN"/>
        </w:rPr>
        <w:t xml:space="preserve">the </w:t>
      </w:r>
      <w:r>
        <w:rPr>
          <w:rFonts w:hint="eastAsia" w:cs="Times New Roman"/>
          <w:sz w:val="20"/>
          <w:szCs w:val="20"/>
          <w:lang w:val="en-US" w:eastAsia="zh-CN"/>
        </w:rPr>
        <w:t>PMI requirement.</w:t>
      </w:r>
    </w:p>
    <w:p w14:paraId="451186C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39" w:name="OLE_LINK13"/>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14</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No need to introduce PMI requirement.</w:t>
      </w:r>
    </w:p>
    <w:bookmarkEnd w:id="39"/>
    <w:p w14:paraId="4A97C6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41F3ADB3">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RI requirement</w:t>
      </w:r>
    </w:p>
    <w:p w14:paraId="22F1A7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ascii="Times New Roman" w:hAnsi="Times New Roman" w:cs="Times New Roman"/>
          <w:sz w:val="20"/>
          <w:szCs w:val="20"/>
          <w:lang w:val="en-US" w:eastAsia="zh-CN"/>
        </w:rPr>
        <w:t>We would like to investigate the feasibility of introducing the RI requirement for ATG MIMO.</w:t>
      </w:r>
      <w:r>
        <w:rPr>
          <w:rFonts w:hint="eastAsia" w:cs="Times New Roman"/>
          <w:sz w:val="20"/>
          <w:szCs w:val="20"/>
          <w:lang w:val="en-US" w:eastAsia="zh-CN"/>
        </w:rPr>
        <w:t xml:space="preserve"> Except the antenna configuration and propagation channel, we think the other test configuration from legacy can be reused. The </w:t>
      </w:r>
      <w:bookmarkStart w:id="40" w:name="OLE_LINK14"/>
      <w:r>
        <w:rPr>
          <w:rFonts w:hint="eastAsia" w:cs="Times New Roman"/>
          <w:sz w:val="20"/>
          <w:szCs w:val="20"/>
          <w:lang w:val="en-US" w:eastAsia="zh-CN"/>
        </w:rPr>
        <w:t xml:space="preserve">SNR and </w:t>
      </w:r>
      <w:r>
        <w:rPr>
          <w:rFonts w:ascii="Symbol" w:hAnsi="Symbol" w:eastAsia="宋体"/>
        </w:rPr>
        <w:t></w:t>
      </w:r>
      <w:r>
        <w:rPr>
          <w:rFonts w:hint="eastAsia" w:ascii="Symbol" w:hAnsi="Symbol" w:eastAsia="宋体"/>
          <w:lang w:val="en-US" w:eastAsia="zh-CN"/>
        </w:rPr>
        <w:t xml:space="preserve"> </w:t>
      </w:r>
      <w:r>
        <w:rPr>
          <w:rFonts w:hint="eastAsia" w:cs="Times New Roman"/>
          <w:sz w:val="20"/>
          <w:szCs w:val="20"/>
          <w:lang w:val="en-US" w:eastAsia="zh-CN"/>
        </w:rPr>
        <w:t>shall be decided by simulation results.</w:t>
      </w:r>
      <w:bookmarkEnd w:id="40"/>
    </w:p>
    <w:p w14:paraId="5F55D3E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41" w:name="OLE_LINK52"/>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Investigate the feasibility of introducing the RI requirement.</w:t>
      </w:r>
    </w:p>
    <w:p w14:paraId="70AEBFD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16: For antenna configuration and propagation channel, reuse the configuration from DL MIMO demodulation test. For other test parameters, reuse the configuration from legacy.</w:t>
      </w:r>
    </w:p>
    <w:p w14:paraId="341A9E9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17: Decide the SNR and </w:t>
      </w:r>
      <w:r>
        <w:rPr>
          <w:rFonts w:ascii="Symbol" w:hAnsi="Symbol" w:eastAsia="宋体"/>
          <w:b/>
          <w:bCs/>
          <w:i/>
          <w:iCs/>
        </w:rPr>
        <w:t></w:t>
      </w:r>
      <w:r>
        <w:rPr>
          <w:rFonts w:hint="eastAsia" w:cs="Times New Roman"/>
          <w:b/>
          <w:bCs/>
          <w:i/>
          <w:iCs/>
          <w:sz w:val="20"/>
          <w:szCs w:val="20"/>
          <w:lang w:val="en-US" w:eastAsia="zh-CN"/>
        </w:rPr>
        <w:t xml:space="preserve"> by simulation results.</w:t>
      </w:r>
    </w:p>
    <w:bookmarkEnd w:id="41"/>
    <w:p w14:paraId="20BC75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p>
    <w:p w14:paraId="402A56AB">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UL MIMO related BS Demodulation requirement</w:t>
      </w:r>
    </w:p>
    <w:p w14:paraId="7BD4FA2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Test scope</w:t>
      </w:r>
    </w:p>
    <w:p w14:paraId="155C64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Rel-18, the </w:t>
      </w:r>
      <w:bookmarkStart w:id="42" w:name="OLE_LINK28"/>
      <w:r>
        <w:rPr>
          <w:rFonts w:hint="eastAsia" w:cs="Times New Roman"/>
          <w:sz w:val="20"/>
          <w:szCs w:val="20"/>
          <w:lang w:val="en-US" w:eastAsia="zh-CN"/>
        </w:rPr>
        <w:t>legacy PUSCH test cases in C</w:t>
      </w:r>
      <w:r>
        <w:rPr>
          <w:rFonts w:hint="eastAsia" w:cs="Times New Roman"/>
          <w:sz w:val="20"/>
          <w:szCs w:val="20"/>
          <w:lang w:val="en-US" w:eastAsia="en-US"/>
        </w:rPr>
        <w:t xml:space="preserve">lause 8.2.1, 8.2.2 and 8.2.3 with 1Tx test cases </w:t>
      </w:r>
      <w:r>
        <w:rPr>
          <w:rFonts w:hint="eastAsia" w:cs="Times New Roman"/>
          <w:sz w:val="20"/>
          <w:szCs w:val="20"/>
          <w:lang w:val="en-US" w:eastAsia="zh-CN"/>
        </w:rPr>
        <w:t xml:space="preserve">are </w:t>
      </w:r>
      <w:r>
        <w:rPr>
          <w:rFonts w:hint="eastAsia" w:cs="Times New Roman"/>
          <w:sz w:val="20"/>
          <w:szCs w:val="20"/>
          <w:lang w:val="en-US" w:eastAsia="en-US"/>
        </w:rPr>
        <w:t>appl</w:t>
      </w:r>
      <w:r>
        <w:rPr>
          <w:rFonts w:hint="eastAsia" w:cs="Times New Roman"/>
          <w:sz w:val="20"/>
          <w:szCs w:val="20"/>
          <w:lang w:val="en-US" w:eastAsia="zh-CN"/>
        </w:rPr>
        <w:t>ied for ATG, and incremental PUSCH</w:t>
      </w:r>
      <w:bookmarkEnd w:id="42"/>
      <w:r>
        <w:rPr>
          <w:rFonts w:hint="eastAsia" w:cs="Times New Roman"/>
          <w:sz w:val="20"/>
          <w:szCs w:val="20"/>
          <w:lang w:val="en-US" w:eastAsia="zh-CN"/>
        </w:rPr>
        <w:t xml:space="preserve"> test cases in Clause 8.2.14 were introduced.</w:t>
      </w:r>
    </w:p>
    <w:p w14:paraId="5F598A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Similar methodology can be reused for R19 UL MIMO test cases, </w:t>
      </w:r>
      <w:bookmarkStart w:id="43" w:name="OLE_LINK29"/>
      <w:r>
        <w:rPr>
          <w:rFonts w:hint="eastAsia" w:cs="Times New Roman"/>
          <w:sz w:val="20"/>
          <w:szCs w:val="20"/>
          <w:lang w:val="en-US" w:eastAsia="zh-CN"/>
        </w:rPr>
        <w:t>the legacy PUSCH test cases in C</w:t>
      </w:r>
      <w:r>
        <w:rPr>
          <w:rFonts w:hint="eastAsia" w:cs="Times New Roman"/>
          <w:sz w:val="20"/>
          <w:szCs w:val="20"/>
          <w:lang w:val="en-US" w:eastAsia="en-US"/>
        </w:rPr>
        <w:t xml:space="preserve">lause 8.2.1, 8.2.2 and 8.2.3 with </w:t>
      </w:r>
      <w:r>
        <w:rPr>
          <w:rFonts w:hint="eastAsia" w:cs="Times New Roman"/>
          <w:sz w:val="20"/>
          <w:szCs w:val="20"/>
          <w:lang w:val="en-US" w:eastAsia="zh-CN"/>
        </w:rPr>
        <w:t>2</w:t>
      </w:r>
      <w:r>
        <w:rPr>
          <w:rFonts w:hint="eastAsia" w:cs="Times New Roman"/>
          <w:sz w:val="20"/>
          <w:szCs w:val="20"/>
          <w:lang w:val="en-US" w:eastAsia="en-US"/>
        </w:rPr>
        <w:t xml:space="preserve">Tx </w:t>
      </w:r>
      <w:r>
        <w:rPr>
          <w:rFonts w:hint="eastAsia" w:cs="Times New Roman"/>
          <w:sz w:val="20"/>
          <w:szCs w:val="20"/>
          <w:lang w:val="en-US" w:eastAsia="zh-CN"/>
        </w:rPr>
        <w:t xml:space="preserve">2 layer </w:t>
      </w:r>
      <w:r>
        <w:rPr>
          <w:rFonts w:hint="eastAsia" w:cs="Times New Roman"/>
          <w:sz w:val="20"/>
          <w:szCs w:val="20"/>
          <w:lang w:val="en-US" w:eastAsia="en-US"/>
        </w:rPr>
        <w:t xml:space="preserve">test cases </w:t>
      </w:r>
      <w:r>
        <w:rPr>
          <w:rFonts w:hint="eastAsia" w:cs="Times New Roman"/>
          <w:sz w:val="20"/>
          <w:szCs w:val="20"/>
          <w:lang w:val="en-US" w:eastAsia="zh-CN"/>
        </w:rPr>
        <w:t xml:space="preserve">will be </w:t>
      </w:r>
      <w:r>
        <w:rPr>
          <w:rFonts w:hint="eastAsia" w:cs="Times New Roman"/>
          <w:sz w:val="20"/>
          <w:szCs w:val="20"/>
          <w:lang w:val="en-US" w:eastAsia="en-US"/>
        </w:rPr>
        <w:t>appl</w:t>
      </w:r>
      <w:r>
        <w:rPr>
          <w:rFonts w:hint="eastAsia" w:cs="Times New Roman"/>
          <w:sz w:val="20"/>
          <w:szCs w:val="20"/>
          <w:lang w:val="en-US" w:eastAsia="zh-CN"/>
        </w:rPr>
        <w:t>ied for ATG, and incremental PUSCH 2 layer test cases will be introduced.</w:t>
      </w:r>
    </w:p>
    <w:bookmarkEnd w:id="43"/>
    <w:p w14:paraId="130A66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18: The legacy PUSCH test cases in C</w:t>
      </w:r>
      <w:r>
        <w:rPr>
          <w:rFonts w:hint="eastAsia" w:cs="Times New Roman"/>
          <w:b/>
          <w:bCs/>
          <w:i/>
          <w:iCs/>
          <w:sz w:val="20"/>
          <w:szCs w:val="20"/>
          <w:lang w:val="en-US" w:eastAsia="en-US"/>
        </w:rPr>
        <w:t xml:space="preserve">lause 8.2.1, 8.2.2 and 8.2.3 with </w:t>
      </w:r>
      <w:r>
        <w:rPr>
          <w:rFonts w:hint="eastAsia" w:cs="Times New Roman"/>
          <w:b/>
          <w:bCs/>
          <w:i/>
          <w:iCs/>
          <w:sz w:val="20"/>
          <w:szCs w:val="20"/>
          <w:lang w:val="en-US" w:eastAsia="zh-CN"/>
        </w:rPr>
        <w:t>2</w:t>
      </w:r>
      <w:r>
        <w:rPr>
          <w:rFonts w:hint="eastAsia" w:cs="Times New Roman"/>
          <w:b/>
          <w:bCs/>
          <w:i/>
          <w:iCs/>
          <w:sz w:val="20"/>
          <w:szCs w:val="20"/>
          <w:lang w:val="en-US" w:eastAsia="en-US"/>
        </w:rPr>
        <w:t xml:space="preserve">Tx </w:t>
      </w:r>
      <w:r>
        <w:rPr>
          <w:rFonts w:hint="eastAsia" w:cs="Times New Roman"/>
          <w:b/>
          <w:bCs/>
          <w:i/>
          <w:iCs/>
          <w:sz w:val="20"/>
          <w:szCs w:val="20"/>
          <w:lang w:val="en-US" w:eastAsia="zh-CN"/>
        </w:rPr>
        <w:t>2 layer</w:t>
      </w:r>
      <w:r>
        <w:rPr>
          <w:rFonts w:hint="eastAsia" w:cs="Times New Roman"/>
          <w:b/>
          <w:bCs/>
          <w:i/>
          <w:iCs/>
          <w:sz w:val="20"/>
          <w:szCs w:val="20"/>
          <w:lang w:val="en-US" w:eastAsia="en-US"/>
        </w:rPr>
        <w:t xml:space="preserve"> </w:t>
      </w:r>
      <w:r>
        <w:rPr>
          <w:rFonts w:hint="eastAsia" w:cs="Times New Roman"/>
          <w:b/>
          <w:bCs/>
          <w:i/>
          <w:iCs/>
          <w:sz w:val="20"/>
          <w:szCs w:val="20"/>
          <w:lang w:val="en-US" w:eastAsia="zh-CN"/>
        </w:rPr>
        <w:t xml:space="preserve">will be </w:t>
      </w:r>
      <w:r>
        <w:rPr>
          <w:rFonts w:hint="eastAsia" w:cs="Times New Roman"/>
          <w:b/>
          <w:bCs/>
          <w:i/>
          <w:iCs/>
          <w:sz w:val="20"/>
          <w:szCs w:val="20"/>
          <w:lang w:val="en-US" w:eastAsia="en-US"/>
        </w:rPr>
        <w:t>appl</w:t>
      </w:r>
      <w:r>
        <w:rPr>
          <w:rFonts w:hint="eastAsia" w:cs="Times New Roman"/>
          <w:b/>
          <w:bCs/>
          <w:i/>
          <w:iCs/>
          <w:sz w:val="20"/>
          <w:szCs w:val="20"/>
          <w:lang w:val="en-US" w:eastAsia="zh-CN"/>
        </w:rPr>
        <w:t xml:space="preserve">ied for ATG, and </w:t>
      </w:r>
      <w:bookmarkStart w:id="44" w:name="OLE_LINK30"/>
      <w:r>
        <w:rPr>
          <w:rFonts w:hint="eastAsia" w:cs="Times New Roman"/>
          <w:b/>
          <w:bCs/>
          <w:i/>
          <w:iCs/>
          <w:sz w:val="20"/>
          <w:szCs w:val="20"/>
          <w:lang w:val="en-US" w:eastAsia="zh-CN"/>
        </w:rPr>
        <w:t>incremental PUSCH 2 layer test cases</w:t>
      </w:r>
      <w:bookmarkEnd w:id="44"/>
      <w:r>
        <w:rPr>
          <w:rFonts w:hint="eastAsia" w:cs="Times New Roman"/>
          <w:b/>
          <w:bCs/>
          <w:i/>
          <w:iCs/>
          <w:sz w:val="20"/>
          <w:szCs w:val="20"/>
          <w:lang w:val="en-US" w:eastAsia="zh-CN"/>
        </w:rPr>
        <w:t xml:space="preserve"> will be introduced.</w:t>
      </w:r>
    </w:p>
    <w:p w14:paraId="257445CF">
      <w:pPr>
        <w:keepNext w:val="0"/>
        <w:keepLines w:val="0"/>
        <w:pageBreakBefore w:val="0"/>
        <w:widowControl/>
        <w:kinsoku/>
        <w:wordWrap/>
        <w:overflowPunct/>
        <w:topLinePunct w:val="0"/>
        <w:autoSpaceDE/>
        <w:autoSpaceDN/>
        <w:bidi w:val="0"/>
        <w:adjustRightInd/>
        <w:snapToGrid/>
        <w:spacing w:before="60" w:after="60"/>
        <w:textAlignment w:val="auto"/>
        <w:rPr>
          <w:rFonts w:hint="default" w:eastAsia="宋体"/>
          <w:lang w:val="en-US" w:eastAsia="zh-CN"/>
        </w:rPr>
      </w:pPr>
    </w:p>
    <w:p w14:paraId="6EEBE1B8">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0"/>
          <w:szCs w:val="20"/>
          <w:u w:val="single"/>
          <w:lang w:val="en-US" w:eastAsia="zh-CN"/>
        </w:rPr>
      </w:pPr>
      <w:r>
        <w:rPr>
          <w:rFonts w:hint="eastAsia"/>
          <w:b/>
          <w:sz w:val="20"/>
          <w:szCs w:val="20"/>
          <w:u w:val="single"/>
          <w:lang w:val="en-US" w:eastAsia="zh-CN"/>
        </w:rPr>
        <w:t>Antenna configuration</w:t>
      </w:r>
      <w:bookmarkStart w:id="45" w:name="OLE_LINK32"/>
      <w:bookmarkStart w:id="46" w:name="OLE_LINK31"/>
      <w:r>
        <w:rPr>
          <w:rFonts w:hint="eastAsia"/>
          <w:b/>
          <w:sz w:val="20"/>
          <w:szCs w:val="20"/>
          <w:u w:val="single"/>
          <w:lang w:val="en-US" w:eastAsia="zh-CN"/>
        </w:rPr>
        <w:t xml:space="preserve"> for incremental test case</w:t>
      </w:r>
      <w:bookmarkEnd w:id="45"/>
      <w:r>
        <w:rPr>
          <w:rFonts w:hint="eastAsia"/>
          <w:b/>
          <w:sz w:val="20"/>
          <w:szCs w:val="20"/>
          <w:u w:val="single"/>
          <w:lang w:val="en-US" w:eastAsia="zh-CN"/>
        </w:rPr>
        <w:t>s</w:t>
      </w:r>
      <w:bookmarkEnd w:id="46"/>
    </w:p>
    <w:p w14:paraId="5EA4B8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cs="Times New Roman"/>
          <w:sz w:val="20"/>
          <w:szCs w:val="20"/>
          <w:lang w:val="en-US" w:eastAsia="zh-CN"/>
        </w:rPr>
        <w:t xml:space="preserve">As stated in WID, it is feasible for </w:t>
      </w:r>
      <w:r>
        <w:rPr>
          <w:kern w:val="2"/>
          <w:sz w:val="20"/>
          <w:szCs w:val="20"/>
          <w:lang w:eastAsia="zh-CN"/>
        </w:rPr>
        <w:t>UE with dual-polarization antenna</w:t>
      </w:r>
      <w:r>
        <w:rPr>
          <w:rFonts w:hint="eastAsia"/>
          <w:kern w:val="2"/>
          <w:sz w:val="20"/>
          <w:szCs w:val="20"/>
          <w:lang w:val="en-US" w:eastAsia="zh-CN"/>
        </w:rPr>
        <w:t xml:space="preserve"> to support UL MIMO. Therefore, 2T2R, 2T4R, and 2T8R with XP</w:t>
      </w:r>
      <w:r>
        <w:rPr>
          <w:rFonts w:hint="eastAsia" w:eastAsia="宋体" w:cs="Times New Roman"/>
          <w:color w:val="auto"/>
          <w:sz w:val="20"/>
          <w:szCs w:val="20"/>
          <w:lang w:val="en-US" w:eastAsia="zh-CN"/>
        </w:rPr>
        <w:t xml:space="preserve"> low correlation can be taken as the starting point.</w:t>
      </w:r>
    </w:p>
    <w:p w14:paraId="3088523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bookmarkStart w:id="47" w:name="OLE_LINK19"/>
      <w:r>
        <w:rPr>
          <w:rFonts w:hint="eastAsia" w:cs="Times New Roman"/>
          <w:b/>
          <w:bCs/>
          <w:i/>
          <w:iCs/>
          <w:sz w:val="20"/>
          <w:szCs w:val="20"/>
          <w:lang w:val="en-US" w:eastAsia="zh-CN"/>
        </w:rPr>
        <w:t xml:space="preserve">Proposal 19: </w:t>
      </w:r>
      <w:bookmarkStart w:id="48" w:name="OLE_LINK33"/>
      <w:r>
        <w:rPr>
          <w:rFonts w:hint="eastAsia" w:cs="Times New Roman"/>
          <w:b/>
          <w:bCs/>
          <w:i/>
          <w:iCs/>
          <w:sz w:val="20"/>
          <w:szCs w:val="20"/>
          <w:lang w:val="en-US" w:eastAsia="zh-CN"/>
        </w:rPr>
        <w:t xml:space="preserve">For incremental test case, </w:t>
      </w:r>
      <w:bookmarkEnd w:id="48"/>
      <w:r>
        <w:rPr>
          <w:rFonts w:hint="eastAsia" w:cs="Times New Roman"/>
          <w:b/>
          <w:bCs/>
          <w:i/>
          <w:iCs/>
          <w:sz w:val="20"/>
          <w:szCs w:val="20"/>
          <w:lang w:val="en-US" w:eastAsia="zh-CN"/>
        </w:rPr>
        <w:t>take 2T2R, 2T4R and 2T8R with X-pol low correlation as the starting point.</w:t>
      </w:r>
    </w:p>
    <w:bookmarkEnd w:id="47"/>
    <w:p w14:paraId="1F78D2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宋体" w:cs="Times New Roman"/>
          <w:color w:val="auto"/>
          <w:sz w:val="20"/>
          <w:szCs w:val="20"/>
          <w:lang w:val="en-US" w:eastAsia="zh-CN"/>
        </w:rPr>
      </w:pPr>
    </w:p>
    <w:p w14:paraId="61637568">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Propagation condition for incremental test cases</w:t>
      </w:r>
    </w:p>
    <w:p w14:paraId="1E0771F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Same as Rel-18, </w:t>
      </w:r>
      <w:bookmarkStart w:id="49" w:name="OLE_LINK20"/>
      <w:r>
        <w:rPr>
          <w:rFonts w:hint="eastAsia" w:eastAsia="宋体" w:cs="Times New Roman"/>
          <w:color w:val="auto"/>
          <w:sz w:val="20"/>
          <w:szCs w:val="20"/>
          <w:lang w:val="en-US" w:eastAsia="zh-CN"/>
        </w:rPr>
        <w:t>AWGN+200Hz can be used for FDD, and AWGN+500Hz can be used for TDD</w:t>
      </w:r>
      <w:bookmarkEnd w:id="49"/>
      <w:r>
        <w:rPr>
          <w:rFonts w:hint="eastAsia" w:eastAsia="宋体" w:cs="Times New Roman"/>
          <w:color w:val="auto"/>
          <w:sz w:val="20"/>
          <w:szCs w:val="20"/>
          <w:lang w:val="en-US" w:eastAsia="zh-CN"/>
        </w:rPr>
        <w:t>.</w:t>
      </w:r>
    </w:p>
    <w:p w14:paraId="235FDC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For the specific channel model, we think the </w:t>
      </w:r>
      <w:bookmarkStart w:id="50" w:name="OLE_LINK21"/>
      <w:r>
        <w:rPr>
          <w:rFonts w:hint="eastAsia" w:eastAsia="宋体" w:cs="Times New Roman"/>
          <w:color w:val="auto"/>
          <w:sz w:val="20"/>
          <w:szCs w:val="20"/>
          <w:lang w:val="en-US" w:eastAsia="zh-CN"/>
        </w:rPr>
        <w:t>static propagation condition from TS38.101-4 can be taken as the reference.</w:t>
      </w:r>
      <w:bookmarkEnd w:id="50"/>
    </w:p>
    <w:p w14:paraId="7CA079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51" w:name="OLE_LINK22"/>
      <w:r>
        <w:rPr>
          <w:rFonts w:hint="eastAsia" w:cs="Times New Roman"/>
          <w:b/>
          <w:bCs/>
          <w:i/>
          <w:iCs/>
          <w:sz w:val="20"/>
          <w:szCs w:val="20"/>
          <w:lang w:val="en-US" w:eastAsia="zh-CN"/>
        </w:rPr>
        <w:t>Proposal 20: For incremental test case, use AWGN+200Hz for FDD, and AWGN+500Hz for TDD. The static propagation condition model from TS38.101-4 can be taken as the reference.</w:t>
      </w:r>
    </w:p>
    <w:bookmarkEnd w:id="51"/>
    <w:p w14:paraId="12CEBCF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167AC17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SCS/CBW for incremental test cases</w:t>
      </w:r>
    </w:p>
    <w:p w14:paraId="7ED4085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Same SCS and CBW from Rel-18 can be reused, which are 5MHz for FDD 15kHz and 10MHz for TDD 30kHz.</w:t>
      </w:r>
    </w:p>
    <w:p w14:paraId="688A22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52" w:name="OLE_LINK24"/>
      <w:r>
        <w:rPr>
          <w:rFonts w:hint="eastAsia" w:cs="Times New Roman"/>
          <w:b/>
          <w:bCs/>
          <w:i/>
          <w:iCs/>
          <w:sz w:val="20"/>
          <w:szCs w:val="20"/>
          <w:lang w:val="en-US" w:eastAsia="zh-CN"/>
        </w:rPr>
        <w:t>Proposal 21: For incremental test case, use 5MHz for FDD 15kHz SCS and 10MHz for TDD 30kHz SCS.</w:t>
      </w:r>
    </w:p>
    <w:bookmarkEnd w:id="52"/>
    <w:p w14:paraId="36CF1A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p>
    <w:p w14:paraId="0F9C606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Rank/MCS for incremental test cases</w:t>
      </w:r>
    </w:p>
    <w:p w14:paraId="7F1DB35C">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kern w:val="2"/>
          <w:sz w:val="20"/>
          <w:szCs w:val="20"/>
          <w:lang w:val="en-US" w:eastAsia="zh-CN"/>
        </w:rPr>
      </w:pPr>
      <w:r>
        <w:rPr>
          <w:rFonts w:hint="eastAsia" w:cs="Times New Roman"/>
          <w:sz w:val="20"/>
          <w:szCs w:val="20"/>
          <w:lang w:val="en-US" w:eastAsia="zh-CN"/>
        </w:rPr>
        <w:t xml:space="preserve">Since the spatial independence comes from antenna polarization, then only Rank 2 can be supported. Regarding MCS, we propose to consider </w:t>
      </w:r>
      <w:bookmarkStart w:id="53" w:name="OLE_LINK25"/>
      <w:r>
        <w:rPr>
          <w:rFonts w:eastAsia="宋体"/>
          <w:sz w:val="20"/>
          <w:szCs w:val="20"/>
        </w:rPr>
        <w:t xml:space="preserve">16QAM </w:t>
      </w:r>
      <w:r>
        <w:rPr>
          <w:rFonts w:eastAsia="宋体"/>
          <w:kern w:val="2"/>
          <w:sz w:val="20"/>
          <w:szCs w:val="20"/>
        </w:rPr>
        <w:t>Table 1 MCS</w:t>
      </w:r>
      <w:r>
        <w:rPr>
          <w:rFonts w:hint="eastAsia" w:eastAsia="宋体"/>
          <w:kern w:val="2"/>
          <w:sz w:val="20"/>
          <w:szCs w:val="20"/>
        </w:rPr>
        <w:t>1</w:t>
      </w:r>
      <w:r>
        <w:rPr>
          <w:rFonts w:hint="eastAsia" w:eastAsia="宋体"/>
          <w:kern w:val="2"/>
          <w:sz w:val="20"/>
          <w:szCs w:val="20"/>
          <w:lang w:val="en-US" w:eastAsia="zh-CN"/>
        </w:rPr>
        <w:t xml:space="preserve">2, </w:t>
      </w:r>
      <w:r>
        <w:rPr>
          <w:rFonts w:eastAsia="宋体"/>
          <w:sz w:val="20"/>
          <w:szCs w:val="20"/>
        </w:rPr>
        <w:t>64QAM</w:t>
      </w:r>
      <w:r>
        <w:rPr>
          <w:rFonts w:eastAsia="宋体"/>
          <w:kern w:val="2"/>
          <w:sz w:val="20"/>
          <w:szCs w:val="20"/>
        </w:rPr>
        <w:t xml:space="preserve"> Table 1 MCS 2</w:t>
      </w:r>
      <w:r>
        <w:rPr>
          <w:rFonts w:hint="eastAsia" w:eastAsia="宋体"/>
          <w:kern w:val="2"/>
          <w:sz w:val="20"/>
          <w:szCs w:val="20"/>
          <w:lang w:val="en-US" w:eastAsia="zh-CN"/>
        </w:rPr>
        <w:t xml:space="preserve">0 and </w:t>
      </w:r>
      <w:r>
        <w:rPr>
          <w:rFonts w:eastAsia="宋体"/>
          <w:sz w:val="20"/>
          <w:szCs w:val="20"/>
        </w:rPr>
        <w:t>256QAM</w:t>
      </w:r>
      <w:r>
        <w:rPr>
          <w:rFonts w:eastAsia="宋体"/>
          <w:kern w:val="2"/>
          <w:sz w:val="20"/>
          <w:szCs w:val="20"/>
        </w:rPr>
        <w:t xml:space="preserve"> Table </w:t>
      </w:r>
      <w:r>
        <w:rPr>
          <w:rFonts w:hint="eastAsia"/>
          <w:kern w:val="2"/>
          <w:sz w:val="20"/>
          <w:szCs w:val="20"/>
        </w:rPr>
        <w:t>2</w:t>
      </w:r>
      <w:r>
        <w:rPr>
          <w:rFonts w:eastAsia="宋体"/>
          <w:kern w:val="2"/>
          <w:sz w:val="20"/>
          <w:szCs w:val="20"/>
        </w:rPr>
        <w:t xml:space="preserve"> MCS </w:t>
      </w:r>
      <w:r>
        <w:rPr>
          <w:rFonts w:hint="eastAsia"/>
          <w:kern w:val="2"/>
          <w:sz w:val="20"/>
          <w:szCs w:val="20"/>
        </w:rPr>
        <w:t>2</w:t>
      </w:r>
      <w:r>
        <w:rPr>
          <w:rFonts w:hint="eastAsia"/>
          <w:kern w:val="2"/>
          <w:sz w:val="20"/>
          <w:szCs w:val="20"/>
          <w:lang w:val="en-US" w:eastAsia="zh-CN"/>
        </w:rPr>
        <w:t>0</w:t>
      </w:r>
      <w:bookmarkEnd w:id="53"/>
      <w:r>
        <w:rPr>
          <w:rFonts w:hint="eastAsia"/>
          <w:kern w:val="2"/>
          <w:sz w:val="20"/>
          <w:szCs w:val="20"/>
          <w:lang w:val="en-US" w:eastAsia="zh-CN"/>
        </w:rPr>
        <w:t xml:space="preserve"> for initial simulation.</w:t>
      </w:r>
    </w:p>
    <w:p w14:paraId="386AF49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54" w:name="OLE_LINK26"/>
      <w:r>
        <w:rPr>
          <w:rFonts w:hint="eastAsia" w:cs="Times New Roman"/>
          <w:b/>
          <w:bCs/>
          <w:i/>
          <w:iCs/>
          <w:sz w:val="20"/>
          <w:szCs w:val="20"/>
          <w:lang w:val="en-US" w:eastAsia="zh-CN"/>
        </w:rPr>
        <w:t xml:space="preserve">Proposal 22: </w:t>
      </w:r>
      <w:bookmarkStart w:id="55" w:name="OLE_LINK34"/>
      <w:r>
        <w:rPr>
          <w:rFonts w:hint="eastAsia" w:cs="Times New Roman"/>
          <w:b/>
          <w:bCs/>
          <w:i/>
          <w:iCs/>
          <w:sz w:val="20"/>
          <w:szCs w:val="20"/>
          <w:lang w:val="en-US" w:eastAsia="zh-CN"/>
        </w:rPr>
        <w:t>For incremental test case,</w:t>
      </w:r>
      <w:bookmarkEnd w:id="55"/>
      <w:r>
        <w:rPr>
          <w:rFonts w:hint="eastAsia" w:cs="Times New Roman"/>
          <w:b/>
          <w:bCs/>
          <w:i/>
          <w:iCs/>
          <w:sz w:val="20"/>
          <w:szCs w:val="20"/>
          <w:lang w:val="en-US" w:eastAsia="zh-CN"/>
        </w:rPr>
        <w:t xml:space="preserve"> consider Rank 2, 16QAM Table 1 MCS12, 64QAM Table 1 MCS 20 and 256QAM Table 2 MCS 20 for initial simulation.</w:t>
      </w:r>
    </w:p>
    <w:bookmarkEnd w:id="54"/>
    <w:p w14:paraId="531AE9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588C2F6B">
      <w:pPr>
        <w:keepNext w:val="0"/>
        <w:keepLines w:val="0"/>
        <w:pageBreakBefore w:val="0"/>
        <w:widowControl/>
        <w:kinsoku/>
        <w:wordWrap/>
        <w:overflowPunct/>
        <w:topLinePunct w:val="0"/>
        <w:autoSpaceDE/>
        <w:autoSpaceDN/>
        <w:bidi w:val="0"/>
        <w:adjustRightInd/>
        <w:snapToGrid/>
        <w:spacing w:before="60" w:after="60"/>
        <w:textAlignment w:val="auto"/>
        <w:rPr>
          <w:rFonts w:hint="eastAsia"/>
          <w:b/>
          <w:sz w:val="20"/>
          <w:szCs w:val="20"/>
          <w:u w:val="single"/>
          <w:lang w:val="en-US" w:eastAsia="zh-CN"/>
        </w:rPr>
      </w:pPr>
      <w:r>
        <w:rPr>
          <w:rFonts w:hint="eastAsia"/>
          <w:b/>
          <w:sz w:val="20"/>
          <w:szCs w:val="20"/>
          <w:u w:val="single"/>
          <w:lang w:val="en-US" w:eastAsia="zh-CN"/>
        </w:rPr>
        <w:t>DMRS configuration for incremental test cases</w:t>
      </w:r>
    </w:p>
    <w:p w14:paraId="0E96BDAA">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cs="Times New Roman"/>
          <w:sz w:val="20"/>
          <w:szCs w:val="20"/>
          <w:lang w:val="en-US" w:eastAsia="zh-CN"/>
        </w:rPr>
      </w:pPr>
      <w:r>
        <w:rPr>
          <w:rFonts w:hint="eastAsia" w:cs="Times New Roman"/>
          <w:sz w:val="20"/>
          <w:szCs w:val="20"/>
          <w:lang w:val="en-US" w:eastAsia="zh-CN"/>
        </w:rPr>
        <w:t>Since Rank 2 is considered here, 2 port DMRS shall also be supported.</w:t>
      </w:r>
    </w:p>
    <w:p w14:paraId="37D1B5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56" w:name="OLE_LINK27"/>
      <w:r>
        <w:rPr>
          <w:rFonts w:hint="eastAsia" w:cs="Times New Roman"/>
          <w:b/>
          <w:bCs/>
          <w:i/>
          <w:iCs/>
          <w:sz w:val="20"/>
          <w:szCs w:val="20"/>
          <w:lang w:val="en-US" w:eastAsia="zh-CN"/>
        </w:rPr>
        <w:t>Proposal 23: For incremental test case, DMRS port 2 {0,1} for UL MIMO.</w:t>
      </w:r>
    </w:p>
    <w:bookmarkEnd w:id="56"/>
    <w:p w14:paraId="216C4CA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p>
    <w:p w14:paraId="6CF05468">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0"/>
          <w:szCs w:val="20"/>
          <w:u w:val="single"/>
          <w:lang w:val="en-US" w:eastAsia="zh-CN"/>
        </w:rPr>
      </w:pPr>
      <w:r>
        <w:rPr>
          <w:rFonts w:hint="eastAsia"/>
          <w:b/>
          <w:sz w:val="20"/>
          <w:szCs w:val="20"/>
          <w:u w:val="single"/>
          <w:lang w:val="en-US" w:eastAsia="zh-CN"/>
        </w:rPr>
        <w:t>TPMI index for 2Tx two-layer spatial multiplexing transmission for incremental test cases</w:t>
      </w:r>
    </w:p>
    <w:p w14:paraId="441B6B6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TPMI index 0 shall be used for two layer and two ports transmission.</w:t>
      </w:r>
    </w:p>
    <w:p w14:paraId="1B5152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57" w:name="OLE_LINK53"/>
      <w:r>
        <w:rPr>
          <w:rFonts w:hint="eastAsia" w:cs="Times New Roman"/>
          <w:b/>
          <w:bCs/>
          <w:i/>
          <w:iCs/>
          <w:sz w:val="20"/>
          <w:szCs w:val="20"/>
          <w:lang w:val="en-US" w:eastAsia="zh-CN"/>
        </w:rPr>
        <w:t>Proposal 24: For incremental test case, TPMI index 0 for UL MIMO.</w:t>
      </w:r>
    </w:p>
    <w:bookmarkEnd w:id="57"/>
    <w:p w14:paraId="332118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宋体" w:cs="Times New Roman"/>
          <w:color w:val="auto"/>
          <w:sz w:val="20"/>
          <w:szCs w:val="20"/>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proposals are concluded. </w:t>
      </w:r>
      <w:bookmarkEnd w:id="8"/>
      <w:bookmarkEnd w:id="9"/>
    </w:p>
    <w:p w14:paraId="38F0888E">
      <w:pPr>
        <w:spacing w:before="60"/>
        <w:rPr>
          <w:rFonts w:hint="eastAsia"/>
          <w:b/>
          <w:bCs/>
          <w:sz w:val="20"/>
          <w:szCs w:val="20"/>
          <w:u w:val="single"/>
          <w:lang w:val="en-US" w:eastAsia="zh-CN"/>
        </w:rPr>
      </w:pPr>
      <w:r>
        <w:rPr>
          <w:rFonts w:hint="eastAsia"/>
          <w:b/>
          <w:bCs/>
          <w:sz w:val="20"/>
          <w:szCs w:val="20"/>
          <w:u w:val="single"/>
          <w:lang w:val="en-US" w:eastAsia="zh-CN"/>
        </w:rPr>
        <w:t>DL CA</w:t>
      </w:r>
    </w:p>
    <w:p w14:paraId="6AE6B4F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RAN4 shall introduce performance requirement for all bandwidth configuration for FDD 15kHz and TDD 30kHz.</w:t>
      </w:r>
    </w:p>
    <w:p w14:paraId="7F7AED8A">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Define the CA configuration selection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5BC9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 w:hRule="atLeast"/>
          <w:jc w:val="center"/>
        </w:trPr>
        <w:tc>
          <w:tcPr>
            <w:tcW w:w="1592" w:type="dxa"/>
            <w:shd w:val="clear" w:color="auto" w:fill="auto"/>
            <w:vAlign w:val="center"/>
          </w:tcPr>
          <w:p w14:paraId="026D8F7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780A55D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0FC65DF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74AA7C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2408A99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3D05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0E96B31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E1DEA9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74DB20F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59B174D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304A3B3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3672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7F88152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46D1622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6522ACD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5F8F4D7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largest number of bands and with the maximum number of CCs, for which the supported maximum number of MIMO layers is not lower than 2.</w:t>
            </w:r>
          </w:p>
        </w:tc>
        <w:tc>
          <w:tcPr>
            <w:tcW w:w="2008" w:type="dxa"/>
            <w:vAlign w:val="top"/>
          </w:tcPr>
          <w:p w14:paraId="3E4C6DE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0DAE710D">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5DB1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67BB03D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Tests</w:t>
            </w:r>
          </w:p>
        </w:tc>
        <w:tc>
          <w:tcPr>
            <w:tcW w:w="1487" w:type="dxa"/>
          </w:tcPr>
          <w:p w14:paraId="34B8ECA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 xml:space="preserve">CA capability where the tests </w:t>
            </w:r>
            <w:r>
              <w:rPr>
                <w:rFonts w:hint="default" w:ascii="Times New Roman" w:hAnsi="Times New Roman" w:eastAsia="等线" w:cs="Times New Roman"/>
                <w:b/>
                <w:bCs/>
                <w:i/>
                <w:iCs/>
                <w:sz w:val="18"/>
                <w:lang w:val="en-GB" w:eastAsia="zh-CN" w:bidi="ar-SA"/>
              </w:rPr>
              <w:t>apply</w:t>
            </w:r>
          </w:p>
        </w:tc>
        <w:tc>
          <w:tcPr>
            <w:tcW w:w="2338" w:type="dxa"/>
            <w:shd w:val="clear" w:color="auto" w:fill="auto"/>
          </w:tcPr>
          <w:p w14:paraId="3215CEB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 configuration</w:t>
            </w:r>
            <w:r>
              <w:rPr>
                <w:rFonts w:hint="default" w:ascii="Times New Roman" w:hAnsi="Times New Roman" w:eastAsia="等线" w:cs="Times New Roman"/>
                <w:b/>
                <w:bCs/>
                <w:i/>
                <w:iCs/>
                <w:sz w:val="18"/>
                <w:lang w:val="en-GB" w:eastAsia="zh-CN" w:bidi="ar-SA"/>
              </w:rPr>
              <w:t xml:space="preserve"> from the selected CA capability</w:t>
            </w:r>
            <w:r>
              <w:rPr>
                <w:rFonts w:hint="default" w:ascii="Times New Roman" w:hAnsi="Times New Roman" w:eastAsia="等线" w:cs="Times New Roman"/>
                <w:b/>
                <w:bCs/>
                <w:i/>
                <w:iCs/>
                <w:sz w:val="18"/>
                <w:lang w:val="en-GB" w:eastAsia="en-US" w:bidi="ar-SA"/>
              </w:rPr>
              <w:t xml:space="preserve"> where the tests </w:t>
            </w:r>
            <w:r>
              <w:rPr>
                <w:rFonts w:hint="default" w:ascii="Times New Roman" w:hAnsi="Times New Roman" w:eastAsia="等线" w:cs="Times New Roman"/>
                <w:b/>
                <w:bCs/>
                <w:i/>
                <w:iCs/>
                <w:sz w:val="18"/>
                <w:lang w:val="en-GB" w:eastAsia="zh-CN" w:bidi="ar-SA"/>
              </w:rPr>
              <w:t>apply</w:t>
            </w:r>
          </w:p>
        </w:tc>
        <w:tc>
          <w:tcPr>
            <w:tcW w:w="2138" w:type="dxa"/>
            <w:shd w:val="clear" w:color="auto" w:fill="auto"/>
          </w:tcPr>
          <w:p w14:paraId="3E65DD9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CA B</w:t>
            </w:r>
            <w:r>
              <w:rPr>
                <w:rFonts w:hint="default" w:ascii="Times New Roman" w:hAnsi="Times New Roman" w:eastAsia="等线" w:cs="Times New Roman"/>
                <w:b/>
                <w:bCs/>
                <w:i/>
                <w:iCs/>
                <w:sz w:val="18"/>
                <w:lang w:val="en-GB" w:eastAsia="en-US" w:bidi="ar-SA"/>
              </w:rPr>
              <w:t xml:space="preserve">andwidth combination to be tested in </w:t>
            </w:r>
            <w:r>
              <w:rPr>
                <w:rFonts w:hint="default" w:ascii="Times New Roman" w:hAnsi="Times New Roman" w:eastAsia="等线" w:cs="Times New Roman"/>
                <w:b/>
                <w:bCs/>
                <w:i/>
                <w:iCs/>
                <w:sz w:val="18"/>
                <w:lang w:val="en-GB" w:eastAsia="zh-CN" w:bidi="ar-SA"/>
              </w:rPr>
              <w:t xml:space="preserve">priority </w:t>
            </w:r>
            <w:r>
              <w:rPr>
                <w:rFonts w:hint="default" w:ascii="Times New Roman" w:hAnsi="Times New Roman" w:eastAsia="等线" w:cs="Times New Roman"/>
                <w:b/>
                <w:bCs/>
                <w:i/>
                <w:iCs/>
                <w:sz w:val="18"/>
                <w:lang w:val="en-GB" w:eastAsia="en-US" w:bidi="ar-SA"/>
              </w:rPr>
              <w:t>order</w:t>
            </w:r>
          </w:p>
        </w:tc>
        <w:tc>
          <w:tcPr>
            <w:tcW w:w="2065" w:type="dxa"/>
          </w:tcPr>
          <w:p w14:paraId="5CF188D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PCell CC configuration</w:t>
            </w:r>
          </w:p>
        </w:tc>
      </w:tr>
      <w:tr w14:paraId="5452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137F1AC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FDD 15 kHz + FDD 15 kHz</w:t>
            </w:r>
          </w:p>
        </w:tc>
        <w:tc>
          <w:tcPr>
            <w:tcW w:w="1487" w:type="dxa"/>
          </w:tcPr>
          <w:p w14:paraId="2E4B347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5F45F2B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7CDCAF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6DC57B2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3239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7C3D2D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TDD 30 kHz + TDD 30 kHz</w:t>
            </w:r>
          </w:p>
        </w:tc>
        <w:tc>
          <w:tcPr>
            <w:tcW w:w="1487" w:type="dxa"/>
          </w:tcPr>
          <w:p w14:paraId="0FF68E4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7D11A4F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0E7B416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001D103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5A9B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A3A39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US" w:eastAsia="zh-CN" w:bidi="ar-SA"/>
              </w:rPr>
            </w:pPr>
            <w:r>
              <w:rPr>
                <w:rFonts w:hint="default" w:ascii="Times New Roman" w:hAnsi="Times New Roman" w:eastAsia="等线" w:cs="Times New Roman"/>
                <w:b/>
                <w:bCs/>
                <w:i/>
                <w:iCs/>
                <w:sz w:val="18"/>
                <w:szCs w:val="24"/>
                <w:lang w:val="en-GB" w:eastAsia="zh-CN" w:bidi="ar-SA"/>
              </w:rPr>
              <w:t>FDD 15 kHz + TDD 30 kH</w:t>
            </w:r>
            <w:r>
              <w:rPr>
                <w:rFonts w:hint="default" w:ascii="Times New Roman" w:hAnsi="Times New Roman" w:eastAsia="等线" w:cs="Times New Roman"/>
                <w:b/>
                <w:bCs/>
                <w:i/>
                <w:iCs/>
                <w:sz w:val="18"/>
                <w:szCs w:val="24"/>
                <w:lang w:val="en-US" w:eastAsia="zh-CN" w:bidi="ar-SA"/>
              </w:rPr>
              <w:t>z</w:t>
            </w:r>
          </w:p>
        </w:tc>
        <w:tc>
          <w:tcPr>
            <w:tcW w:w="1487" w:type="dxa"/>
          </w:tcPr>
          <w:p w14:paraId="274E1F2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CA_AX</w:t>
            </w:r>
          </w:p>
        </w:tc>
        <w:tc>
          <w:tcPr>
            <w:tcW w:w="2338" w:type="dxa"/>
            <w:shd w:val="clear" w:color="auto" w:fill="auto"/>
            <w:vAlign w:val="top"/>
          </w:tcPr>
          <w:p w14:paraId="46C1D0F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26C638E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1D34935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US" w:eastAsia="zh-CN" w:bidi="ar-SA"/>
              </w:rPr>
              <w:t>F</w:t>
            </w:r>
            <w:r>
              <w:rPr>
                <w:rFonts w:hint="default" w:ascii="Times New Roman" w:hAnsi="Times New Roman" w:eastAsia="等线" w:cs="Times New Roman"/>
                <w:b/>
                <w:bCs/>
                <w:i/>
                <w:iCs/>
                <w:sz w:val="18"/>
                <w:lang w:val="en-GB" w:eastAsia="en-US" w:bidi="ar-SA"/>
              </w:rPr>
              <w:t xml:space="preserve">DD CC if supported, otherwise </w:t>
            </w:r>
            <w:r>
              <w:rPr>
                <w:rFonts w:hint="default" w:ascii="Times New Roman" w:hAnsi="Times New Roman" w:eastAsia="等线" w:cs="Times New Roman"/>
                <w:b/>
                <w:bCs/>
                <w:i/>
                <w:iCs/>
                <w:sz w:val="18"/>
                <w:lang w:val="en-US" w:eastAsia="zh-CN" w:bidi="ar-SA"/>
              </w:rPr>
              <w:t>T</w:t>
            </w:r>
            <w:r>
              <w:rPr>
                <w:rFonts w:hint="default" w:ascii="Times New Roman" w:hAnsi="Times New Roman" w:eastAsia="等线" w:cs="Times New Roman"/>
                <w:b/>
                <w:bCs/>
                <w:i/>
                <w:iCs/>
                <w:sz w:val="18"/>
                <w:lang w:val="en-GB" w:eastAsia="en-US" w:bidi="ar-SA"/>
              </w:rPr>
              <w:t>DD CC</w:t>
            </w:r>
          </w:p>
        </w:tc>
      </w:tr>
    </w:tbl>
    <w:p w14:paraId="7FA14D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Use legacy TDD pattern for both FDD and TDD.</w:t>
      </w:r>
    </w:p>
    <w:p w14:paraId="1FC71D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w:t>
      </w:r>
      <w:r>
        <w:rPr>
          <w:rFonts w:hint="eastAsia" w:cs="Times New Roman"/>
          <w:b/>
          <w:bCs/>
          <w:i/>
          <w:iCs/>
          <w:sz w:val="20"/>
          <w:szCs w:val="20"/>
          <w:lang w:val="en-US" w:eastAsia="zh-CN"/>
        </w:rPr>
        <w:t>For CA requirement, u</w:t>
      </w:r>
      <w:r>
        <w:rPr>
          <w:rFonts w:hint="eastAsia" w:ascii="Times New Roman" w:hAnsi="Times New Roman" w:cs="Times New Roman"/>
          <w:b/>
          <w:bCs/>
          <w:i/>
          <w:iCs/>
          <w:sz w:val="20"/>
          <w:szCs w:val="20"/>
          <w:lang w:val="en-US" w:eastAsia="zh-CN"/>
        </w:rPr>
        <w:t xml:space="preserve">se Rank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as the starting point.</w:t>
      </w:r>
    </w:p>
    <w:p w14:paraId="08C5B3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Proposal 6: For CA requirement, use 16QAM MCS 13 and 64QAM MCS 22 for initial simulation.</w:t>
      </w:r>
    </w:p>
    <w:p w14:paraId="149A539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b/>
          <w:bCs/>
          <w:i/>
          <w:iCs/>
          <w:color w:val="auto"/>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F</w:t>
      </w:r>
      <w:r>
        <w:rPr>
          <w:rFonts w:hint="eastAsia" w:eastAsia="宋体" w:cs="Times New Roman"/>
          <w:b/>
          <w:bCs/>
          <w:i/>
          <w:iCs/>
          <w:color w:val="auto"/>
          <w:sz w:val="20"/>
          <w:szCs w:val="20"/>
          <w:lang w:val="en-US" w:eastAsia="zh-CN"/>
        </w:rPr>
        <w:t>ollowing test setups agreed in R18 can be reused:</w:t>
      </w:r>
    </w:p>
    <w:p w14:paraId="20C33070">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Channel model: AWGN+220Hz for FDD 15kHz，AWGN+500Hz for TDD 30kHz</w:t>
      </w:r>
    </w:p>
    <w:p w14:paraId="577B061A">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Antenna configuration: 2T2R and 2T4R</w:t>
      </w:r>
    </w:p>
    <w:p w14:paraId="139EA2DD">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ko-KR"/>
        </w:rPr>
        <w:t>Test metric</w:t>
      </w:r>
      <w:r>
        <w:rPr>
          <w:rFonts w:hint="eastAsia" w:ascii="Times New Roman" w:hAnsi="Times New Roman" w:eastAsia="宋体" w:cs="Times New Roman"/>
          <w:b/>
          <w:bCs/>
          <w:i/>
          <w:iCs/>
          <w:color w:val="auto"/>
          <w:sz w:val="20"/>
          <w:szCs w:val="20"/>
          <w:lang w:val="en-US" w:eastAsia="zh-CN"/>
        </w:rPr>
        <w:t>:  70% of max TP</w:t>
      </w:r>
    </w:p>
    <w:p w14:paraId="1634DE37">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宋体" w:cs="Times New Roman"/>
          <w:b/>
          <w:bCs/>
          <w:i/>
          <w:iCs/>
          <w:color w:val="auto"/>
          <w:sz w:val="20"/>
          <w:szCs w:val="20"/>
          <w:lang w:val="en-US" w:eastAsia="zh-CN"/>
        </w:rPr>
      </w:pPr>
      <w:r>
        <w:rPr>
          <w:rFonts w:hint="eastAsia" w:ascii="Times New Roman" w:hAnsi="Times New Roman" w:eastAsia="宋体" w:cs="Times New Roman"/>
          <w:b/>
          <w:bCs/>
          <w:i/>
          <w:iCs/>
          <w:color w:val="auto"/>
          <w:sz w:val="20"/>
          <w:szCs w:val="20"/>
          <w:lang w:val="en-US" w:eastAsia="zh-CN"/>
        </w:rPr>
        <w:t>Receiver: MMSE-IRC</w:t>
      </w:r>
    </w:p>
    <w:p w14:paraId="0E6080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8</w:t>
      </w:r>
      <w:r>
        <w:rPr>
          <w:rFonts w:hint="eastAsia" w:ascii="Times New Roman" w:hAnsi="Times New Roman" w:cs="Times New Roman"/>
          <w:b/>
          <w:bCs/>
          <w:i/>
          <w:iCs/>
          <w:sz w:val="20"/>
          <w:szCs w:val="20"/>
          <w:lang w:val="en-US" w:eastAsia="zh-CN"/>
        </w:rPr>
        <w:t>: For the other test parameters, the configuration in Table 5.2A-1/2/3 in TS 38.101-4 can be reused.</w:t>
      </w:r>
    </w:p>
    <w:p w14:paraId="713DE8FA">
      <w:pPr>
        <w:spacing w:before="60"/>
        <w:rPr>
          <w:rFonts w:hint="default"/>
          <w:b/>
          <w:bCs/>
          <w:sz w:val="20"/>
          <w:szCs w:val="20"/>
          <w:u w:val="single"/>
          <w:lang w:val="en-US" w:eastAsia="zh-CN"/>
        </w:rPr>
      </w:pPr>
    </w:p>
    <w:p w14:paraId="3D9D5434">
      <w:pPr>
        <w:spacing w:before="60"/>
        <w:rPr>
          <w:rFonts w:hint="eastAsia"/>
          <w:b/>
          <w:bCs/>
          <w:sz w:val="20"/>
          <w:szCs w:val="20"/>
          <w:u w:val="single"/>
          <w:lang w:val="en-US" w:eastAsia="zh-CN"/>
        </w:rPr>
      </w:pPr>
      <w:r>
        <w:rPr>
          <w:rFonts w:hint="eastAsia"/>
          <w:b/>
          <w:bCs/>
          <w:sz w:val="20"/>
          <w:szCs w:val="20"/>
          <w:u w:val="single"/>
          <w:lang w:val="en-US" w:eastAsia="zh-CN"/>
        </w:rPr>
        <w:t>DL MIMO</w:t>
      </w:r>
    </w:p>
    <w:p w14:paraId="7144D5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9</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2T2R and 2T4R with X-pol low can be the baseline.</w:t>
      </w:r>
    </w:p>
    <w:p w14:paraId="6E9DE1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10</w:t>
      </w:r>
      <w:r>
        <w:rPr>
          <w:rFonts w:hint="eastAsia" w:ascii="Times New Roman" w:hAnsi="Times New Roman" w:cs="Times New Roman"/>
          <w:b/>
          <w:bCs/>
          <w:i/>
          <w:iCs/>
          <w:sz w:val="20"/>
          <w:szCs w:val="20"/>
          <w:lang w:val="en-US" w:eastAsia="zh-CN"/>
        </w:rPr>
        <w:t>: Use legacy TDD pattern for both FDD and TDD.</w:t>
      </w:r>
    </w:p>
    <w:p w14:paraId="739DB6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Rank, cover Rank 2 for MIMO performance verification.</w:t>
      </w:r>
    </w:p>
    <w:p w14:paraId="7A2A0F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Proposal 12: For initial simulation, consider 16QAM Table 1 MCS13, 64QAM Table 1 MCS 22 and 256QAM Table 2 MCS 24.</w:t>
      </w:r>
    </w:p>
    <w:p w14:paraId="0792117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eastAsia" w:ascii="Times New Roman" w:hAnsi="Times New Roman" w:cs="Times New Roman"/>
          <w:b/>
          <w:bCs/>
          <w:i/>
          <w:iCs/>
          <w:sz w:val="20"/>
          <w:szCs w:val="20"/>
          <w:lang w:val="en-US" w:eastAsia="zh-CN"/>
        </w:rPr>
        <w:t xml:space="preserve">: </w:t>
      </w:r>
      <w:r>
        <w:rPr>
          <w:rFonts w:hint="eastAsia"/>
          <w:b/>
          <w:bCs/>
          <w:i/>
          <w:iCs/>
          <w:kern w:val="2"/>
          <w:sz w:val="20"/>
          <w:szCs w:val="20"/>
          <w:lang w:val="en-US" w:eastAsia="zh-CN"/>
        </w:rPr>
        <w:t>For other simulation assumptions, the agreements from Rel-18 can be reused, including:</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3042"/>
        <w:gridCol w:w="1547"/>
        <w:gridCol w:w="1687"/>
        <w:gridCol w:w="1696"/>
      </w:tblGrid>
      <w:tr w14:paraId="38CF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3CCDAADE">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Parameter</w:t>
            </w:r>
          </w:p>
        </w:tc>
        <w:tc>
          <w:tcPr>
            <w:tcW w:w="1547" w:type="dxa"/>
          </w:tcPr>
          <w:p w14:paraId="7895CB65">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Unit</w:t>
            </w:r>
          </w:p>
        </w:tc>
        <w:tc>
          <w:tcPr>
            <w:tcW w:w="1687" w:type="dxa"/>
          </w:tcPr>
          <w:p w14:paraId="27B7D822">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Test 1</w:t>
            </w:r>
          </w:p>
        </w:tc>
        <w:tc>
          <w:tcPr>
            <w:tcW w:w="1696" w:type="dxa"/>
          </w:tcPr>
          <w:p w14:paraId="310AEB15">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Test 2</w:t>
            </w:r>
          </w:p>
        </w:tc>
      </w:tr>
      <w:tr w14:paraId="5A6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3EB6862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range</w:t>
            </w:r>
          </w:p>
        </w:tc>
        <w:tc>
          <w:tcPr>
            <w:tcW w:w="1547" w:type="dxa"/>
          </w:tcPr>
          <w:p w14:paraId="21BB7449">
            <w:pPr>
              <w:overflowPunct w:val="0"/>
              <w:autoSpaceDE w:val="0"/>
              <w:autoSpaceDN w:val="0"/>
              <w:adjustRightInd w:val="0"/>
              <w:spacing w:after="120" w:line="276" w:lineRule="auto"/>
              <w:textAlignment w:val="baseline"/>
              <w:rPr>
                <w:rFonts w:eastAsia="宋体"/>
                <w:b/>
                <w:bCs/>
                <w:i/>
                <w:iCs/>
                <w:sz w:val="20"/>
                <w:szCs w:val="20"/>
              </w:rPr>
            </w:pPr>
            <w:r>
              <w:rPr>
                <w:rFonts w:eastAsia="宋体"/>
                <w:b/>
                <w:bCs/>
                <w:i/>
                <w:iCs/>
                <w:sz w:val="20"/>
                <w:szCs w:val="20"/>
              </w:rPr>
              <w:t>　</w:t>
            </w:r>
          </w:p>
        </w:tc>
        <w:tc>
          <w:tcPr>
            <w:tcW w:w="1687" w:type="dxa"/>
          </w:tcPr>
          <w:p w14:paraId="0C63E8B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FR1</w:t>
            </w:r>
          </w:p>
        </w:tc>
        <w:tc>
          <w:tcPr>
            <w:tcW w:w="1696" w:type="dxa"/>
          </w:tcPr>
          <w:p w14:paraId="03AE7D7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FR1</w:t>
            </w:r>
          </w:p>
        </w:tc>
      </w:tr>
      <w:tr w14:paraId="5089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7045374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Bandwidth</w:t>
            </w:r>
          </w:p>
        </w:tc>
        <w:tc>
          <w:tcPr>
            <w:tcW w:w="1547" w:type="dxa"/>
          </w:tcPr>
          <w:p w14:paraId="3AA732F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MHz</w:t>
            </w:r>
          </w:p>
        </w:tc>
        <w:tc>
          <w:tcPr>
            <w:tcW w:w="1687" w:type="dxa"/>
          </w:tcPr>
          <w:p w14:paraId="296547A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10</w:t>
            </w:r>
          </w:p>
        </w:tc>
        <w:tc>
          <w:tcPr>
            <w:tcW w:w="1696" w:type="dxa"/>
          </w:tcPr>
          <w:p w14:paraId="1750F5D4">
            <w:pPr>
              <w:overflowPunct w:val="0"/>
              <w:autoSpaceDE w:val="0"/>
              <w:autoSpaceDN w:val="0"/>
              <w:adjustRightInd w:val="0"/>
              <w:spacing w:after="120" w:line="276" w:lineRule="auto"/>
              <w:textAlignment w:val="baseline"/>
              <w:rPr>
                <w:i/>
                <w:iCs/>
                <w:sz w:val="20"/>
                <w:szCs w:val="20"/>
              </w:rPr>
            </w:pPr>
            <w:r>
              <w:rPr>
                <w:rFonts w:eastAsia="宋体"/>
                <w:i/>
                <w:iCs/>
                <w:sz w:val="20"/>
                <w:szCs w:val="20"/>
              </w:rPr>
              <w:t>40</w:t>
            </w:r>
          </w:p>
        </w:tc>
      </w:tr>
      <w:tr w14:paraId="383B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9D03EB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Subcarrier spacing</w:t>
            </w:r>
          </w:p>
        </w:tc>
        <w:tc>
          <w:tcPr>
            <w:tcW w:w="1547" w:type="dxa"/>
          </w:tcPr>
          <w:p w14:paraId="567953E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kHz</w:t>
            </w:r>
          </w:p>
        </w:tc>
        <w:tc>
          <w:tcPr>
            <w:tcW w:w="1687" w:type="dxa"/>
          </w:tcPr>
          <w:p w14:paraId="6CBB7AC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15</w:t>
            </w:r>
          </w:p>
        </w:tc>
        <w:tc>
          <w:tcPr>
            <w:tcW w:w="1696" w:type="dxa"/>
          </w:tcPr>
          <w:p w14:paraId="42C7C65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30</w:t>
            </w:r>
          </w:p>
        </w:tc>
      </w:tr>
      <w:tr w14:paraId="5BA10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31FAB05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Duplex Mode</w:t>
            </w:r>
          </w:p>
        </w:tc>
        <w:tc>
          <w:tcPr>
            <w:tcW w:w="1547" w:type="dxa"/>
          </w:tcPr>
          <w:p w14:paraId="64FC750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594543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FDD</w:t>
            </w:r>
          </w:p>
        </w:tc>
        <w:tc>
          <w:tcPr>
            <w:tcW w:w="1696" w:type="dxa"/>
          </w:tcPr>
          <w:p w14:paraId="2D8DBA5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TDD</w:t>
            </w:r>
          </w:p>
        </w:tc>
      </w:tr>
      <w:tr w14:paraId="0608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328" w:type="dxa"/>
            <w:gridSpan w:val="2"/>
          </w:tcPr>
          <w:p w14:paraId="75F30CF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Propagation channel</w:t>
            </w:r>
          </w:p>
        </w:tc>
        <w:tc>
          <w:tcPr>
            <w:tcW w:w="1547" w:type="dxa"/>
          </w:tcPr>
          <w:p w14:paraId="0C4B480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690ACF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AWGN+220Hz doppler</w:t>
            </w:r>
          </w:p>
        </w:tc>
        <w:tc>
          <w:tcPr>
            <w:tcW w:w="1696" w:type="dxa"/>
          </w:tcPr>
          <w:p w14:paraId="1EE0971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AWGN+500Hz doppler</w:t>
            </w:r>
          </w:p>
        </w:tc>
      </w:tr>
      <w:tr w14:paraId="78B9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28" w:type="dxa"/>
            <w:gridSpan w:val="2"/>
          </w:tcPr>
          <w:p w14:paraId="303DFA0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Beamforming Model  </w:t>
            </w:r>
          </w:p>
        </w:tc>
        <w:tc>
          <w:tcPr>
            <w:tcW w:w="1547" w:type="dxa"/>
          </w:tcPr>
          <w:p w14:paraId="44A050F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72DCCB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As defined in Annex B.4.1 in TS 38.101-4</w:t>
            </w:r>
          </w:p>
        </w:tc>
        <w:tc>
          <w:tcPr>
            <w:tcW w:w="1696" w:type="dxa"/>
          </w:tcPr>
          <w:p w14:paraId="005B39A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As defined in Annex B.4.1 in TS 38.101-4</w:t>
            </w:r>
          </w:p>
        </w:tc>
      </w:tr>
      <w:tr w14:paraId="4BDE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65E5ADD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Receiver type</w:t>
            </w:r>
          </w:p>
        </w:tc>
        <w:tc>
          <w:tcPr>
            <w:tcW w:w="1547" w:type="dxa"/>
          </w:tcPr>
          <w:p w14:paraId="77D736F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484E4F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MMSE-IRC</w:t>
            </w:r>
          </w:p>
        </w:tc>
        <w:tc>
          <w:tcPr>
            <w:tcW w:w="1696" w:type="dxa"/>
          </w:tcPr>
          <w:p w14:paraId="6DCC886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MMSE-IRC</w:t>
            </w:r>
          </w:p>
        </w:tc>
      </w:tr>
      <w:tr w14:paraId="71F44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63C3910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PDSCH configuration</w:t>
            </w:r>
          </w:p>
        </w:tc>
        <w:tc>
          <w:tcPr>
            <w:tcW w:w="3042" w:type="dxa"/>
          </w:tcPr>
          <w:p w14:paraId="233776A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Mapping type</w:t>
            </w:r>
          </w:p>
        </w:tc>
        <w:tc>
          <w:tcPr>
            <w:tcW w:w="1547" w:type="dxa"/>
          </w:tcPr>
          <w:p w14:paraId="2572D83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59760F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A</w:t>
            </w:r>
          </w:p>
        </w:tc>
        <w:tc>
          <w:tcPr>
            <w:tcW w:w="1696" w:type="dxa"/>
          </w:tcPr>
          <w:p w14:paraId="166162F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A</w:t>
            </w:r>
          </w:p>
        </w:tc>
      </w:tr>
      <w:tr w14:paraId="37EE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F60ED52">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5159B1C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Starting symbol (S)</w:t>
            </w:r>
          </w:p>
        </w:tc>
        <w:tc>
          <w:tcPr>
            <w:tcW w:w="1547" w:type="dxa"/>
          </w:tcPr>
          <w:p w14:paraId="41F6D71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2B1D96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3FA72F1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637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9C48CA3">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65DEEC8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Length (L)</w:t>
            </w:r>
          </w:p>
        </w:tc>
        <w:tc>
          <w:tcPr>
            <w:tcW w:w="1547" w:type="dxa"/>
          </w:tcPr>
          <w:p w14:paraId="64DEC86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5FB2C4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12</w:t>
            </w:r>
          </w:p>
        </w:tc>
        <w:tc>
          <w:tcPr>
            <w:tcW w:w="1696" w:type="dxa"/>
          </w:tcPr>
          <w:p w14:paraId="29B8FA1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12</w:t>
            </w:r>
          </w:p>
        </w:tc>
      </w:tr>
      <w:tr w14:paraId="6B08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1DF388E">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3BD29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PRB bundling size</w:t>
            </w:r>
          </w:p>
        </w:tc>
        <w:tc>
          <w:tcPr>
            <w:tcW w:w="1547" w:type="dxa"/>
          </w:tcPr>
          <w:p w14:paraId="4631039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454173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2F2DBD7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4544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575DF04">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3F1CE9D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PRB bundling type</w:t>
            </w:r>
          </w:p>
        </w:tc>
        <w:tc>
          <w:tcPr>
            <w:tcW w:w="1547" w:type="dxa"/>
          </w:tcPr>
          <w:p w14:paraId="31FD58D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2B1CEB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Static</w:t>
            </w:r>
          </w:p>
        </w:tc>
        <w:tc>
          <w:tcPr>
            <w:tcW w:w="1696" w:type="dxa"/>
          </w:tcPr>
          <w:p w14:paraId="528B7A0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Static</w:t>
            </w:r>
          </w:p>
        </w:tc>
      </w:tr>
      <w:tr w14:paraId="30A4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069AABD">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970121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VRB-to-PRB mapping interleaver bundle size</w:t>
            </w:r>
          </w:p>
        </w:tc>
        <w:tc>
          <w:tcPr>
            <w:tcW w:w="1547" w:type="dxa"/>
          </w:tcPr>
          <w:p w14:paraId="3E4502F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6BF5CC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Non-interleaved</w:t>
            </w:r>
          </w:p>
        </w:tc>
        <w:tc>
          <w:tcPr>
            <w:tcW w:w="1696" w:type="dxa"/>
          </w:tcPr>
          <w:p w14:paraId="74CF2C5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Non-interleaved</w:t>
            </w:r>
          </w:p>
        </w:tc>
      </w:tr>
      <w:tr w14:paraId="1DA6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53B9871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PDSCH DMRS configuration</w:t>
            </w:r>
          </w:p>
        </w:tc>
        <w:tc>
          <w:tcPr>
            <w:tcW w:w="3042" w:type="dxa"/>
          </w:tcPr>
          <w:p w14:paraId="5595C00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DMRS Type</w:t>
            </w:r>
          </w:p>
        </w:tc>
        <w:tc>
          <w:tcPr>
            <w:tcW w:w="1547" w:type="dxa"/>
          </w:tcPr>
          <w:p w14:paraId="70D4D55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C83F91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1</w:t>
            </w:r>
          </w:p>
        </w:tc>
        <w:tc>
          <w:tcPr>
            <w:tcW w:w="1696" w:type="dxa"/>
          </w:tcPr>
          <w:p w14:paraId="3CC1AAD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Type 1</w:t>
            </w:r>
          </w:p>
        </w:tc>
      </w:tr>
      <w:tr w14:paraId="0F6E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DAFDBC0">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0045EE3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additional DMRS</w:t>
            </w:r>
          </w:p>
        </w:tc>
        <w:tc>
          <w:tcPr>
            <w:tcW w:w="1547" w:type="dxa"/>
          </w:tcPr>
          <w:p w14:paraId="423BC5B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D929B6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6A5798D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4B2E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488A5713">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839A2A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Maximum number of OFDM symbols for DL front loaded DMRS</w:t>
            </w:r>
          </w:p>
        </w:tc>
        <w:tc>
          <w:tcPr>
            <w:tcW w:w="1547" w:type="dxa"/>
          </w:tcPr>
          <w:p w14:paraId="1E994B2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75A2FF9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4430268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30CD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restart"/>
          </w:tcPr>
          <w:p w14:paraId="41360EA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NZP CSI-RS for CSI acquisition</w:t>
            </w:r>
          </w:p>
        </w:tc>
        <w:tc>
          <w:tcPr>
            <w:tcW w:w="3042" w:type="dxa"/>
          </w:tcPr>
          <w:p w14:paraId="7AC5D3D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Row index (Note 3</w:t>
            </w:r>
            <w:r>
              <w:rPr>
                <w:rFonts w:eastAsia="宋体"/>
                <w:i/>
                <w:iCs/>
                <w:sz w:val="20"/>
                <w:szCs w:val="20"/>
                <w:vertAlign w:val="superscript"/>
              </w:rPr>
              <w:t>)</w:t>
            </w:r>
          </w:p>
        </w:tc>
        <w:tc>
          <w:tcPr>
            <w:tcW w:w="1547" w:type="dxa"/>
          </w:tcPr>
          <w:p w14:paraId="282151D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6831A0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w:t>
            </w:r>
          </w:p>
        </w:tc>
        <w:tc>
          <w:tcPr>
            <w:tcW w:w="1696" w:type="dxa"/>
          </w:tcPr>
          <w:p w14:paraId="6E78B05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3</w:t>
            </w:r>
          </w:p>
        </w:tc>
      </w:tr>
      <w:tr w14:paraId="52FEE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3EF1DB71">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0DEAFDC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subcarrier index in the PRB used for CSI-RS </w:t>
            </w:r>
          </w:p>
        </w:tc>
        <w:tc>
          <w:tcPr>
            <w:tcW w:w="1547" w:type="dxa"/>
          </w:tcPr>
          <w:p w14:paraId="0A9A033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A127D4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0</w:t>
            </w:r>
          </w:p>
        </w:tc>
        <w:tc>
          <w:tcPr>
            <w:tcW w:w="1696" w:type="dxa"/>
          </w:tcPr>
          <w:p w14:paraId="4FC8106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0</w:t>
            </w:r>
          </w:p>
        </w:tc>
      </w:tr>
      <w:tr w14:paraId="6DB1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3717B79C">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0620B0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OFDM symbol in the PRB used for CSI-RS </w:t>
            </w:r>
          </w:p>
        </w:tc>
        <w:tc>
          <w:tcPr>
            <w:tcW w:w="1547" w:type="dxa"/>
          </w:tcPr>
          <w:p w14:paraId="454EFB2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61A449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c>
          <w:tcPr>
            <w:tcW w:w="1696" w:type="dxa"/>
          </w:tcPr>
          <w:p w14:paraId="1801E01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r>
      <w:tr w14:paraId="5ECF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159A9918">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2A3ABF5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CSI-RS ports (X)</w:t>
            </w:r>
          </w:p>
        </w:tc>
        <w:tc>
          <w:tcPr>
            <w:tcW w:w="1547" w:type="dxa"/>
          </w:tcPr>
          <w:p w14:paraId="4E8B340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6D5A05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c>
          <w:tcPr>
            <w:tcW w:w="1696" w:type="dxa"/>
          </w:tcPr>
          <w:p w14:paraId="4B2E905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w:t>
            </w:r>
          </w:p>
        </w:tc>
      </w:tr>
      <w:tr w14:paraId="5C1F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9952668">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2E1C804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CDM Type</w:t>
            </w:r>
          </w:p>
        </w:tc>
        <w:tc>
          <w:tcPr>
            <w:tcW w:w="1547" w:type="dxa"/>
          </w:tcPr>
          <w:p w14:paraId="20B9C8F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CE6A00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c>
          <w:tcPr>
            <w:tcW w:w="1696" w:type="dxa"/>
          </w:tcPr>
          <w:p w14:paraId="0B5E5FD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r>
      <w:tr w14:paraId="5278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9767C12">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A7555E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Density (ρ)</w:t>
            </w:r>
          </w:p>
        </w:tc>
        <w:tc>
          <w:tcPr>
            <w:tcW w:w="1547" w:type="dxa"/>
          </w:tcPr>
          <w:p w14:paraId="125708E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272F1F0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03AF797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3B1A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5F6AE16">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70CC74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periodicity</w:t>
            </w:r>
          </w:p>
        </w:tc>
        <w:tc>
          <w:tcPr>
            <w:tcW w:w="1547" w:type="dxa"/>
          </w:tcPr>
          <w:p w14:paraId="58B1A5A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31986C1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20</w:t>
            </w:r>
          </w:p>
        </w:tc>
        <w:tc>
          <w:tcPr>
            <w:tcW w:w="1696" w:type="dxa"/>
          </w:tcPr>
          <w:p w14:paraId="6A126B4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40</w:t>
            </w:r>
          </w:p>
        </w:tc>
      </w:tr>
      <w:tr w14:paraId="6D70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0CC9240">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1E6FE2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offset</w:t>
            </w:r>
          </w:p>
        </w:tc>
        <w:tc>
          <w:tcPr>
            <w:tcW w:w="1547" w:type="dxa"/>
          </w:tcPr>
          <w:p w14:paraId="49A1559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274211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c>
          <w:tcPr>
            <w:tcW w:w="1696" w:type="dxa"/>
          </w:tcPr>
          <w:p w14:paraId="65BC178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r>
      <w:tr w14:paraId="05EC2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A0A6E2B">
            <w:pPr>
              <w:overflowPunct w:val="0"/>
              <w:autoSpaceDE w:val="0"/>
              <w:autoSpaceDN w:val="0"/>
              <w:adjustRightInd w:val="0"/>
              <w:spacing w:after="120" w:line="276" w:lineRule="auto"/>
              <w:textAlignment w:val="baseline"/>
              <w:rPr>
                <w:rFonts w:eastAsia="宋体"/>
                <w:i/>
                <w:iCs/>
                <w:sz w:val="20"/>
                <w:szCs w:val="20"/>
              </w:rPr>
            </w:pPr>
          </w:p>
        </w:tc>
        <w:tc>
          <w:tcPr>
            <w:tcW w:w="3042" w:type="dxa"/>
            <w:vMerge w:val="restart"/>
          </w:tcPr>
          <w:p w14:paraId="221A3F9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Occupation</w:t>
            </w:r>
          </w:p>
        </w:tc>
        <w:tc>
          <w:tcPr>
            <w:tcW w:w="1547" w:type="dxa"/>
            <w:vMerge w:val="restart"/>
          </w:tcPr>
          <w:p w14:paraId="048CB85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02294A1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c>
          <w:tcPr>
            <w:tcW w:w="1696" w:type="dxa"/>
          </w:tcPr>
          <w:p w14:paraId="614A6C3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r>
      <w:tr w14:paraId="6A6B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43354BF1">
            <w:pPr>
              <w:overflowPunct w:val="0"/>
              <w:autoSpaceDE w:val="0"/>
              <w:autoSpaceDN w:val="0"/>
              <w:adjustRightInd w:val="0"/>
              <w:spacing w:after="120" w:line="276" w:lineRule="auto"/>
              <w:textAlignment w:val="baseline"/>
              <w:rPr>
                <w:rFonts w:eastAsia="宋体"/>
                <w:i/>
                <w:iCs/>
                <w:sz w:val="20"/>
                <w:szCs w:val="20"/>
              </w:rPr>
            </w:pPr>
          </w:p>
        </w:tc>
        <w:tc>
          <w:tcPr>
            <w:tcW w:w="3042" w:type="dxa"/>
            <w:vMerge w:val="continue"/>
          </w:tcPr>
          <w:p w14:paraId="369668E7">
            <w:pPr>
              <w:overflowPunct w:val="0"/>
              <w:autoSpaceDE w:val="0"/>
              <w:autoSpaceDN w:val="0"/>
              <w:adjustRightInd w:val="0"/>
              <w:spacing w:after="120" w:line="276" w:lineRule="auto"/>
              <w:textAlignment w:val="baseline"/>
              <w:rPr>
                <w:rFonts w:eastAsia="宋体"/>
                <w:i/>
                <w:iCs/>
                <w:sz w:val="20"/>
                <w:szCs w:val="20"/>
              </w:rPr>
            </w:pPr>
          </w:p>
        </w:tc>
        <w:tc>
          <w:tcPr>
            <w:tcW w:w="1547" w:type="dxa"/>
            <w:vMerge w:val="continue"/>
          </w:tcPr>
          <w:p w14:paraId="3EC73554">
            <w:pPr>
              <w:overflowPunct w:val="0"/>
              <w:autoSpaceDE w:val="0"/>
              <w:autoSpaceDN w:val="0"/>
              <w:adjustRightInd w:val="0"/>
              <w:spacing w:after="120" w:line="276" w:lineRule="auto"/>
              <w:textAlignment w:val="baseline"/>
              <w:rPr>
                <w:rFonts w:eastAsia="宋体"/>
                <w:i/>
                <w:iCs/>
                <w:sz w:val="20"/>
                <w:szCs w:val="20"/>
              </w:rPr>
            </w:pPr>
          </w:p>
        </w:tc>
        <w:tc>
          <w:tcPr>
            <w:tcW w:w="1687" w:type="dxa"/>
          </w:tcPr>
          <w:p w14:paraId="15C8952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c>
          <w:tcPr>
            <w:tcW w:w="1696" w:type="dxa"/>
          </w:tcPr>
          <w:p w14:paraId="172A521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r>
      <w:tr w14:paraId="6586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F2E88C3">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0104AF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QCL info</w:t>
            </w:r>
          </w:p>
        </w:tc>
        <w:tc>
          <w:tcPr>
            <w:tcW w:w="1547" w:type="dxa"/>
          </w:tcPr>
          <w:p w14:paraId="3C2B474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1F317F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TCI state #1</w:t>
            </w:r>
          </w:p>
        </w:tc>
        <w:tc>
          <w:tcPr>
            <w:tcW w:w="1696" w:type="dxa"/>
          </w:tcPr>
          <w:p w14:paraId="5FB1C58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TCI state #1</w:t>
            </w:r>
          </w:p>
        </w:tc>
      </w:tr>
      <w:tr w14:paraId="282F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622D33D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ZP CSI-RS for CSI acquisition</w:t>
            </w:r>
          </w:p>
        </w:tc>
        <w:tc>
          <w:tcPr>
            <w:tcW w:w="3042" w:type="dxa"/>
          </w:tcPr>
          <w:p w14:paraId="427C063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Row index (Note 3)</w:t>
            </w:r>
          </w:p>
        </w:tc>
        <w:tc>
          <w:tcPr>
            <w:tcW w:w="1547" w:type="dxa"/>
          </w:tcPr>
          <w:p w14:paraId="13FA602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25D988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5</w:t>
            </w:r>
          </w:p>
        </w:tc>
        <w:tc>
          <w:tcPr>
            <w:tcW w:w="1696" w:type="dxa"/>
          </w:tcPr>
          <w:p w14:paraId="6F9EDFA4">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5</w:t>
            </w:r>
          </w:p>
        </w:tc>
      </w:tr>
      <w:tr w14:paraId="4BBE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2A8D1937">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E67DF8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subcarrier index in the PRB used for CSI-RS </w:t>
            </w:r>
          </w:p>
        </w:tc>
        <w:tc>
          <w:tcPr>
            <w:tcW w:w="1547" w:type="dxa"/>
          </w:tcPr>
          <w:p w14:paraId="72899C9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5D5F19A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4</w:t>
            </w:r>
          </w:p>
        </w:tc>
        <w:tc>
          <w:tcPr>
            <w:tcW w:w="1696" w:type="dxa"/>
          </w:tcPr>
          <w:p w14:paraId="15ABEC4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k</w:t>
            </w:r>
            <w:r>
              <w:rPr>
                <w:rFonts w:eastAsia="宋体"/>
                <w:i/>
                <w:iCs/>
                <w:sz w:val="20"/>
                <w:szCs w:val="20"/>
                <w:vertAlign w:val="subscript"/>
              </w:rPr>
              <w:t xml:space="preserve">0 </w:t>
            </w:r>
            <w:r>
              <w:rPr>
                <w:rFonts w:eastAsia="宋体"/>
                <w:i/>
                <w:iCs/>
                <w:sz w:val="20"/>
                <w:szCs w:val="20"/>
              </w:rPr>
              <w:t>= 4</w:t>
            </w:r>
          </w:p>
        </w:tc>
      </w:tr>
      <w:tr w14:paraId="4B35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6FC27DCB">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3999CB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xml:space="preserve">First OFDM symbol in the PRB used for CSI-RS </w:t>
            </w:r>
          </w:p>
        </w:tc>
        <w:tc>
          <w:tcPr>
            <w:tcW w:w="1547" w:type="dxa"/>
          </w:tcPr>
          <w:p w14:paraId="1C77F2D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FF280C2">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c>
          <w:tcPr>
            <w:tcW w:w="1696" w:type="dxa"/>
          </w:tcPr>
          <w:p w14:paraId="0F24B24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l</w:t>
            </w:r>
            <w:r>
              <w:rPr>
                <w:rFonts w:eastAsia="宋体"/>
                <w:i/>
                <w:iCs/>
                <w:sz w:val="20"/>
                <w:szCs w:val="20"/>
                <w:vertAlign w:val="subscript"/>
              </w:rPr>
              <w:t>0</w:t>
            </w:r>
            <w:r>
              <w:rPr>
                <w:rFonts w:eastAsia="宋体"/>
                <w:i/>
                <w:iCs/>
                <w:sz w:val="20"/>
                <w:szCs w:val="20"/>
              </w:rPr>
              <w:t xml:space="preserve"> = 12</w:t>
            </w:r>
          </w:p>
        </w:tc>
      </w:tr>
      <w:tr w14:paraId="1F7A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AF444E7">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379144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CSI-RS ports (X)</w:t>
            </w:r>
          </w:p>
        </w:tc>
        <w:tc>
          <w:tcPr>
            <w:tcW w:w="1547" w:type="dxa"/>
          </w:tcPr>
          <w:p w14:paraId="01B8616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35F9E54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5B0F55B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r>
      <w:tr w14:paraId="3576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8A5DD9F">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7E6B157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CDM Type</w:t>
            </w:r>
          </w:p>
        </w:tc>
        <w:tc>
          <w:tcPr>
            <w:tcW w:w="1547" w:type="dxa"/>
          </w:tcPr>
          <w:p w14:paraId="39CF749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E43D26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c>
          <w:tcPr>
            <w:tcW w:w="1696" w:type="dxa"/>
          </w:tcPr>
          <w:p w14:paraId="17E6AFA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'FD-CDM2'</w:t>
            </w:r>
          </w:p>
        </w:tc>
      </w:tr>
      <w:tr w14:paraId="095C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86" w:type="dxa"/>
            <w:vMerge w:val="continue"/>
          </w:tcPr>
          <w:p w14:paraId="4471591C">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35E01FB6">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Density (ρ)</w:t>
            </w:r>
          </w:p>
        </w:tc>
        <w:tc>
          <w:tcPr>
            <w:tcW w:w="1547" w:type="dxa"/>
          </w:tcPr>
          <w:p w14:paraId="217B177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16ABDD0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c>
          <w:tcPr>
            <w:tcW w:w="1696" w:type="dxa"/>
          </w:tcPr>
          <w:p w14:paraId="15AF833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1</w:t>
            </w:r>
          </w:p>
        </w:tc>
      </w:tr>
      <w:tr w14:paraId="3697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86" w:type="dxa"/>
            <w:vMerge w:val="continue"/>
          </w:tcPr>
          <w:p w14:paraId="39BCB463">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1CB1B3EE">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periodicity</w:t>
            </w:r>
          </w:p>
        </w:tc>
        <w:tc>
          <w:tcPr>
            <w:tcW w:w="1547" w:type="dxa"/>
          </w:tcPr>
          <w:p w14:paraId="26A4108D">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108F12B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20</w:t>
            </w:r>
          </w:p>
        </w:tc>
        <w:tc>
          <w:tcPr>
            <w:tcW w:w="1696" w:type="dxa"/>
          </w:tcPr>
          <w:p w14:paraId="33AF1F5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40</w:t>
            </w:r>
          </w:p>
        </w:tc>
      </w:tr>
      <w:tr w14:paraId="2295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3ACEB9EF">
            <w:pPr>
              <w:overflowPunct w:val="0"/>
              <w:autoSpaceDE w:val="0"/>
              <w:autoSpaceDN w:val="0"/>
              <w:adjustRightInd w:val="0"/>
              <w:spacing w:after="120" w:line="276" w:lineRule="auto"/>
              <w:textAlignment w:val="baseline"/>
              <w:rPr>
                <w:rFonts w:eastAsia="宋体"/>
                <w:i/>
                <w:iCs/>
                <w:sz w:val="20"/>
                <w:szCs w:val="20"/>
              </w:rPr>
            </w:pPr>
          </w:p>
        </w:tc>
        <w:tc>
          <w:tcPr>
            <w:tcW w:w="3042" w:type="dxa"/>
          </w:tcPr>
          <w:p w14:paraId="40145F6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CSI-RS offset</w:t>
            </w:r>
          </w:p>
        </w:tc>
        <w:tc>
          <w:tcPr>
            <w:tcW w:w="1547" w:type="dxa"/>
          </w:tcPr>
          <w:p w14:paraId="1368340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Slots</w:t>
            </w:r>
          </w:p>
        </w:tc>
        <w:tc>
          <w:tcPr>
            <w:tcW w:w="1687" w:type="dxa"/>
          </w:tcPr>
          <w:p w14:paraId="37D00DA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c>
          <w:tcPr>
            <w:tcW w:w="1696" w:type="dxa"/>
          </w:tcPr>
          <w:p w14:paraId="4FEBD227">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0</w:t>
            </w:r>
          </w:p>
        </w:tc>
      </w:tr>
      <w:tr w14:paraId="7916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C642440">
            <w:pPr>
              <w:overflowPunct w:val="0"/>
              <w:autoSpaceDE w:val="0"/>
              <w:autoSpaceDN w:val="0"/>
              <w:adjustRightInd w:val="0"/>
              <w:spacing w:after="120" w:line="276" w:lineRule="auto"/>
              <w:textAlignment w:val="baseline"/>
              <w:rPr>
                <w:rFonts w:eastAsia="宋体"/>
                <w:i/>
                <w:iCs/>
                <w:sz w:val="20"/>
                <w:szCs w:val="20"/>
              </w:rPr>
            </w:pPr>
          </w:p>
        </w:tc>
        <w:tc>
          <w:tcPr>
            <w:tcW w:w="3042" w:type="dxa"/>
            <w:vMerge w:val="restart"/>
          </w:tcPr>
          <w:p w14:paraId="796771EC">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Frequency Occupation</w:t>
            </w:r>
          </w:p>
        </w:tc>
        <w:tc>
          <w:tcPr>
            <w:tcW w:w="1547" w:type="dxa"/>
            <w:vMerge w:val="restart"/>
          </w:tcPr>
          <w:p w14:paraId="7BDD95E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6BAABFE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c>
          <w:tcPr>
            <w:tcW w:w="1696" w:type="dxa"/>
          </w:tcPr>
          <w:p w14:paraId="1710D86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Start PRB 0</w:t>
            </w:r>
          </w:p>
        </w:tc>
      </w:tr>
      <w:tr w14:paraId="47CF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241889D3">
            <w:pPr>
              <w:overflowPunct w:val="0"/>
              <w:autoSpaceDE w:val="0"/>
              <w:autoSpaceDN w:val="0"/>
              <w:adjustRightInd w:val="0"/>
              <w:spacing w:after="120" w:line="276" w:lineRule="auto"/>
              <w:textAlignment w:val="baseline"/>
              <w:rPr>
                <w:rFonts w:eastAsia="宋体"/>
                <w:i/>
                <w:iCs/>
                <w:sz w:val="20"/>
                <w:szCs w:val="20"/>
              </w:rPr>
            </w:pPr>
          </w:p>
        </w:tc>
        <w:tc>
          <w:tcPr>
            <w:tcW w:w="3042" w:type="dxa"/>
            <w:vMerge w:val="continue"/>
          </w:tcPr>
          <w:p w14:paraId="342606E4">
            <w:pPr>
              <w:overflowPunct w:val="0"/>
              <w:autoSpaceDE w:val="0"/>
              <w:autoSpaceDN w:val="0"/>
              <w:adjustRightInd w:val="0"/>
              <w:spacing w:after="120" w:line="276" w:lineRule="auto"/>
              <w:textAlignment w:val="baseline"/>
              <w:rPr>
                <w:rFonts w:eastAsia="宋体"/>
                <w:i/>
                <w:iCs/>
                <w:sz w:val="20"/>
                <w:szCs w:val="20"/>
              </w:rPr>
            </w:pPr>
          </w:p>
        </w:tc>
        <w:tc>
          <w:tcPr>
            <w:tcW w:w="1547" w:type="dxa"/>
            <w:vMerge w:val="continue"/>
          </w:tcPr>
          <w:p w14:paraId="58C3AD98">
            <w:pPr>
              <w:overflowPunct w:val="0"/>
              <w:autoSpaceDE w:val="0"/>
              <w:autoSpaceDN w:val="0"/>
              <w:adjustRightInd w:val="0"/>
              <w:spacing w:after="120" w:line="276" w:lineRule="auto"/>
              <w:textAlignment w:val="baseline"/>
              <w:rPr>
                <w:rFonts w:eastAsia="宋体"/>
                <w:i/>
                <w:iCs/>
                <w:sz w:val="20"/>
                <w:szCs w:val="20"/>
              </w:rPr>
            </w:pPr>
          </w:p>
        </w:tc>
        <w:tc>
          <w:tcPr>
            <w:tcW w:w="1687" w:type="dxa"/>
          </w:tcPr>
          <w:p w14:paraId="7D7C1AA3">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c>
          <w:tcPr>
            <w:tcW w:w="1696" w:type="dxa"/>
          </w:tcPr>
          <w:p w14:paraId="4817D3D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PRB = ceil(BWP size/4)*4</w:t>
            </w:r>
          </w:p>
        </w:tc>
      </w:tr>
      <w:tr w14:paraId="699B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69E0F65">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Maximum number of HARQ transmission</w:t>
            </w:r>
          </w:p>
        </w:tc>
        <w:tc>
          <w:tcPr>
            <w:tcW w:w="1547" w:type="dxa"/>
          </w:tcPr>
          <w:p w14:paraId="0284907F">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75C6812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6D0B76C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r>
      <w:tr w14:paraId="419F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748EC3D1">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Number of HARQ Processes</w:t>
            </w:r>
          </w:p>
        </w:tc>
        <w:tc>
          <w:tcPr>
            <w:tcW w:w="1547" w:type="dxa"/>
          </w:tcPr>
          <w:p w14:paraId="448CB010">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1687" w:type="dxa"/>
          </w:tcPr>
          <w:p w14:paraId="48C3EDA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4</w:t>
            </w:r>
          </w:p>
        </w:tc>
        <w:tc>
          <w:tcPr>
            <w:tcW w:w="1696" w:type="dxa"/>
          </w:tcPr>
          <w:p w14:paraId="08BDD3C9">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8</w:t>
            </w:r>
          </w:p>
        </w:tc>
      </w:tr>
      <w:tr w14:paraId="07D0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4328" w:type="dxa"/>
            <w:gridSpan w:val="2"/>
          </w:tcPr>
          <w:p w14:paraId="7BADFB2B">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Test metric</w:t>
            </w:r>
          </w:p>
        </w:tc>
        <w:tc>
          <w:tcPr>
            <w:tcW w:w="1547" w:type="dxa"/>
          </w:tcPr>
          <w:p w14:paraId="193E755A">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　</w:t>
            </w:r>
          </w:p>
        </w:tc>
        <w:tc>
          <w:tcPr>
            <w:tcW w:w="3383" w:type="dxa"/>
            <w:gridSpan w:val="2"/>
          </w:tcPr>
          <w:p w14:paraId="398F58C8">
            <w:pPr>
              <w:overflowPunct w:val="0"/>
              <w:autoSpaceDE w:val="0"/>
              <w:autoSpaceDN w:val="0"/>
              <w:adjustRightInd w:val="0"/>
              <w:spacing w:after="120" w:line="276" w:lineRule="auto"/>
              <w:textAlignment w:val="baseline"/>
              <w:rPr>
                <w:rFonts w:eastAsia="宋体"/>
                <w:i/>
                <w:iCs/>
                <w:sz w:val="20"/>
                <w:szCs w:val="20"/>
              </w:rPr>
            </w:pPr>
            <w:r>
              <w:rPr>
                <w:rFonts w:eastAsia="宋体"/>
                <w:i/>
                <w:iCs/>
                <w:sz w:val="20"/>
                <w:szCs w:val="20"/>
              </w:rPr>
              <w:t>70% of max throughput at target SNR.</w:t>
            </w:r>
          </w:p>
        </w:tc>
      </w:tr>
    </w:tbl>
    <w:p w14:paraId="6178FF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14</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No need to introduce PMI requirement.</w:t>
      </w:r>
    </w:p>
    <w:p w14:paraId="21BE97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Investigate the feasibility of introducing the RI requirement.</w:t>
      </w:r>
    </w:p>
    <w:p w14:paraId="6096714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16: For antenna configuration and propagation channel, reuse the configuration from DL MIMO demodulation test. For other test parameters, reuse the configuration from legacy.</w:t>
      </w:r>
    </w:p>
    <w:p w14:paraId="5EFAF0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17: Decide the SNR and </w:t>
      </w:r>
      <w:r>
        <w:rPr>
          <w:rFonts w:ascii="Symbol" w:hAnsi="Symbol" w:eastAsia="宋体"/>
          <w:b/>
          <w:bCs/>
          <w:i/>
          <w:iCs/>
        </w:rPr>
        <w:t></w:t>
      </w:r>
      <w:r>
        <w:rPr>
          <w:rFonts w:hint="eastAsia" w:cs="Times New Roman"/>
          <w:b/>
          <w:bCs/>
          <w:i/>
          <w:iCs/>
          <w:sz w:val="20"/>
          <w:szCs w:val="20"/>
          <w:lang w:val="en-US" w:eastAsia="zh-CN"/>
        </w:rPr>
        <w:t xml:space="preserve"> by simulation results.</w:t>
      </w:r>
    </w:p>
    <w:p w14:paraId="53FCE6DE">
      <w:pPr>
        <w:spacing w:before="60"/>
        <w:rPr>
          <w:rFonts w:hint="default"/>
          <w:b/>
          <w:bCs/>
          <w:sz w:val="20"/>
          <w:szCs w:val="20"/>
          <w:u w:val="single"/>
          <w:lang w:val="en-US" w:eastAsia="zh-CN"/>
        </w:rPr>
      </w:pPr>
    </w:p>
    <w:p w14:paraId="68B5CCF1">
      <w:pPr>
        <w:spacing w:before="60"/>
        <w:rPr>
          <w:rFonts w:hint="eastAsia"/>
          <w:b/>
          <w:bCs/>
          <w:sz w:val="20"/>
          <w:szCs w:val="20"/>
          <w:u w:val="single"/>
          <w:lang w:val="en-US" w:eastAsia="zh-CN"/>
        </w:rPr>
      </w:pPr>
      <w:r>
        <w:rPr>
          <w:rFonts w:hint="eastAsia"/>
          <w:b/>
          <w:bCs/>
          <w:sz w:val="20"/>
          <w:szCs w:val="20"/>
          <w:u w:val="single"/>
          <w:lang w:val="en-US" w:eastAsia="zh-CN"/>
        </w:rPr>
        <w:t>UL MIMO</w:t>
      </w:r>
    </w:p>
    <w:p w14:paraId="686B26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18: The legacy PUSCH test cases in C</w:t>
      </w:r>
      <w:r>
        <w:rPr>
          <w:rFonts w:hint="eastAsia" w:cs="Times New Roman"/>
          <w:b/>
          <w:bCs/>
          <w:i/>
          <w:iCs/>
          <w:sz w:val="20"/>
          <w:szCs w:val="20"/>
          <w:lang w:val="en-US" w:eastAsia="en-US"/>
        </w:rPr>
        <w:t xml:space="preserve">lause 8.2.1, 8.2.2 and 8.2.3 with </w:t>
      </w:r>
      <w:r>
        <w:rPr>
          <w:rFonts w:hint="eastAsia" w:cs="Times New Roman"/>
          <w:b/>
          <w:bCs/>
          <w:i/>
          <w:iCs/>
          <w:sz w:val="20"/>
          <w:szCs w:val="20"/>
          <w:lang w:val="en-US" w:eastAsia="zh-CN"/>
        </w:rPr>
        <w:t>2</w:t>
      </w:r>
      <w:r>
        <w:rPr>
          <w:rFonts w:hint="eastAsia" w:cs="Times New Roman"/>
          <w:b/>
          <w:bCs/>
          <w:i/>
          <w:iCs/>
          <w:sz w:val="20"/>
          <w:szCs w:val="20"/>
          <w:lang w:val="en-US" w:eastAsia="en-US"/>
        </w:rPr>
        <w:t xml:space="preserve">Tx </w:t>
      </w:r>
      <w:r>
        <w:rPr>
          <w:rFonts w:hint="eastAsia" w:cs="Times New Roman"/>
          <w:b/>
          <w:bCs/>
          <w:i/>
          <w:iCs/>
          <w:sz w:val="20"/>
          <w:szCs w:val="20"/>
          <w:lang w:val="en-US" w:eastAsia="zh-CN"/>
        </w:rPr>
        <w:t>2 layer</w:t>
      </w:r>
      <w:r>
        <w:rPr>
          <w:rFonts w:hint="eastAsia" w:cs="Times New Roman"/>
          <w:b/>
          <w:bCs/>
          <w:i/>
          <w:iCs/>
          <w:sz w:val="20"/>
          <w:szCs w:val="20"/>
          <w:lang w:val="en-US" w:eastAsia="en-US"/>
        </w:rPr>
        <w:t xml:space="preserve"> </w:t>
      </w:r>
      <w:r>
        <w:rPr>
          <w:rFonts w:hint="eastAsia" w:cs="Times New Roman"/>
          <w:b/>
          <w:bCs/>
          <w:i/>
          <w:iCs/>
          <w:sz w:val="20"/>
          <w:szCs w:val="20"/>
          <w:lang w:val="en-US" w:eastAsia="zh-CN"/>
        </w:rPr>
        <w:t xml:space="preserve">will be </w:t>
      </w:r>
      <w:r>
        <w:rPr>
          <w:rFonts w:hint="eastAsia" w:cs="Times New Roman"/>
          <w:b/>
          <w:bCs/>
          <w:i/>
          <w:iCs/>
          <w:sz w:val="20"/>
          <w:szCs w:val="20"/>
          <w:lang w:val="en-US" w:eastAsia="en-US"/>
        </w:rPr>
        <w:t>appl</w:t>
      </w:r>
      <w:r>
        <w:rPr>
          <w:rFonts w:hint="eastAsia" w:cs="Times New Roman"/>
          <w:b/>
          <w:bCs/>
          <w:i/>
          <w:iCs/>
          <w:sz w:val="20"/>
          <w:szCs w:val="20"/>
          <w:lang w:val="en-US" w:eastAsia="zh-CN"/>
        </w:rPr>
        <w:t>ied for ATG, and incremental PUSCH 2 layer test cases will be introduced.</w:t>
      </w:r>
    </w:p>
    <w:p w14:paraId="1007452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19: For incremental test case, take 2T2R, 2T4R and 2T8R with X-pol low correlation as the starting point.</w:t>
      </w:r>
    </w:p>
    <w:p w14:paraId="1C079F7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20: For incremental test case, use AWGN+200Hz for FDD, and AWGN+500Hz for TDD. The static propagation condition model from TS38.101-4 can be taken as the reference.</w:t>
      </w:r>
    </w:p>
    <w:p w14:paraId="72BE65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21: For incremental test case, use 5MHz for FDD 15kHz SCS and 10MHz for TDD 30kHz SCS.</w:t>
      </w:r>
    </w:p>
    <w:p w14:paraId="1DFB40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22: For incremental test case, consider Rank 2, 16QAM Table 1 MCS12, 64QAM Table 1 MCS 20 and 256QAM Table 2 MCS 20 for initial simulation.</w:t>
      </w:r>
    </w:p>
    <w:p w14:paraId="7E868B4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23: For incremental test case, DMRS port 2 {0,1} for UL MIMO.</w:t>
      </w:r>
    </w:p>
    <w:p w14:paraId="01BF048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24: For incremental test case, TPMI index 0 for UL MIMO.</w:t>
      </w:r>
    </w:p>
    <w:p w14:paraId="30201D0C">
      <w:pPr>
        <w:spacing w:before="60"/>
        <w:rPr>
          <w:rFonts w:hint="default"/>
          <w:b/>
          <w:bCs/>
          <w:sz w:val="20"/>
          <w:szCs w:val="20"/>
          <w:u w:val="single"/>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8BA4A25">
      <w:pPr>
        <w:rPr>
          <w:sz w:val="20"/>
          <w:szCs w:val="20"/>
          <w:lang w:val="en-GB"/>
        </w:rPr>
      </w:pPr>
      <w:r>
        <w:rPr>
          <w:rFonts w:hint="eastAsia"/>
          <w:sz w:val="20"/>
          <w:szCs w:val="20"/>
          <w:lang w:val="en-GB"/>
        </w:rPr>
        <w:t>[</w:t>
      </w:r>
      <w:r>
        <w:rPr>
          <w:sz w:val="20"/>
          <w:szCs w:val="20"/>
          <w:lang w:val="en-GB"/>
        </w:rPr>
        <w:t>1] RP-2</w:t>
      </w:r>
      <w:r>
        <w:rPr>
          <w:rFonts w:hint="eastAsia"/>
          <w:sz w:val="20"/>
          <w:szCs w:val="20"/>
          <w:lang w:val="en-US" w:eastAsia="zh-CN"/>
        </w:rPr>
        <w:t>43285</w:t>
      </w:r>
      <w:r>
        <w:rPr>
          <w:sz w:val="20"/>
          <w:szCs w:val="20"/>
          <w:lang w:val="en-GB"/>
        </w:rPr>
        <w:t xml:space="preserve">, </w:t>
      </w:r>
      <w:r>
        <w:rPr>
          <w:rFonts w:hint="eastAsia"/>
          <w:sz w:val="20"/>
          <w:szCs w:val="20"/>
          <w:lang w:val="en-GB"/>
        </w:rPr>
        <w:t>Revised WID on Enhancements for Air-to-ground network for NR</w:t>
      </w:r>
      <w:r>
        <w:rPr>
          <w:sz w:val="20"/>
          <w:szCs w:val="20"/>
          <w:lang w:val="en-GB"/>
        </w:rPr>
        <w:t xml:space="preserve">, </w:t>
      </w:r>
      <w:r>
        <w:rPr>
          <w:rFonts w:hint="eastAsia"/>
          <w:sz w:val="20"/>
          <w:szCs w:val="20"/>
          <w:lang w:val="en-GB"/>
        </w:rPr>
        <w:t>CMCC, ZTE Corporation, CATT, Huawei, HiSilicon, Verizon, China Telecom, China Unicom</w:t>
      </w:r>
      <w:r>
        <w:rPr>
          <w:sz w:val="20"/>
          <w:szCs w:val="20"/>
          <w:lang w:val="en-GB"/>
        </w:rPr>
        <w:t>.</w:t>
      </w:r>
    </w:p>
    <w:p w14:paraId="772AD4A1">
      <w:pPr>
        <w:rPr>
          <w:sz w:val="20"/>
          <w:szCs w:val="20"/>
          <w:lang w:val="en-GB"/>
        </w:rPr>
      </w:pPr>
      <w:r>
        <w:rPr>
          <w:rFonts w:hint="eastAsia"/>
          <w:sz w:val="20"/>
          <w:szCs w:val="20"/>
          <w:lang w:val="en-GB"/>
        </w:rPr>
        <w:t>[</w:t>
      </w:r>
      <w:r>
        <w:rPr>
          <w:sz w:val="20"/>
          <w:szCs w:val="20"/>
          <w:lang w:val="en-GB"/>
        </w:rPr>
        <w:t xml:space="preserve">2] </w:t>
      </w:r>
      <w:r>
        <w:rPr>
          <w:rFonts w:hint="eastAsia"/>
          <w:sz w:val="20"/>
          <w:szCs w:val="20"/>
          <w:lang w:val="en-GB"/>
        </w:rPr>
        <w:t>R4-2404692</w:t>
      </w:r>
      <w:r>
        <w:rPr>
          <w:sz w:val="20"/>
          <w:szCs w:val="20"/>
          <w:lang w:val="en-GB"/>
        </w:rPr>
        <w:t xml:space="preserve">, </w:t>
      </w:r>
      <w:r>
        <w:rPr>
          <w:rFonts w:hint="eastAsia"/>
          <w:sz w:val="20"/>
          <w:szCs w:val="20"/>
          <w:lang w:val="en-GB"/>
        </w:rPr>
        <w:t>(NR_ATG_enh-Core) Work plan on Rel-19 enhancements for ATG</w:t>
      </w:r>
      <w:r>
        <w:rPr>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59AC6"/>
    <w:multiLevelType w:val="singleLevel"/>
    <w:tmpl w:val="88759AC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D0187"/>
    <w:multiLevelType w:val="singleLevel"/>
    <w:tmpl w:val="4D6D0187"/>
    <w:lvl w:ilvl="0" w:tentative="0">
      <w:start w:val="1"/>
      <w:numFmt w:val="decimal"/>
      <w:suff w:val="space"/>
      <w:lvlText w:val="%1."/>
      <w:lvlJc w:val="left"/>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F7606B"/>
    <w:rsid w:val="03D25EE7"/>
    <w:rsid w:val="042B3615"/>
    <w:rsid w:val="081E4B5F"/>
    <w:rsid w:val="086548D6"/>
    <w:rsid w:val="0F992464"/>
    <w:rsid w:val="120A163A"/>
    <w:rsid w:val="15913B28"/>
    <w:rsid w:val="184D0C01"/>
    <w:rsid w:val="1E161E6D"/>
    <w:rsid w:val="1E927A09"/>
    <w:rsid w:val="1ED75440"/>
    <w:rsid w:val="2175014D"/>
    <w:rsid w:val="257025E8"/>
    <w:rsid w:val="27C95B2A"/>
    <w:rsid w:val="280023AD"/>
    <w:rsid w:val="282019FF"/>
    <w:rsid w:val="2C80030E"/>
    <w:rsid w:val="2E084D35"/>
    <w:rsid w:val="320937D5"/>
    <w:rsid w:val="389B67A0"/>
    <w:rsid w:val="47D3399F"/>
    <w:rsid w:val="483A3B0D"/>
    <w:rsid w:val="48813FCC"/>
    <w:rsid w:val="48ED7B84"/>
    <w:rsid w:val="490254F1"/>
    <w:rsid w:val="49D52D0E"/>
    <w:rsid w:val="4A6864F1"/>
    <w:rsid w:val="4B1E7F9E"/>
    <w:rsid w:val="51633A66"/>
    <w:rsid w:val="51B15AA6"/>
    <w:rsid w:val="52347B6B"/>
    <w:rsid w:val="52D73516"/>
    <w:rsid w:val="54441280"/>
    <w:rsid w:val="576808B3"/>
    <w:rsid w:val="5E646CF6"/>
    <w:rsid w:val="5EE8777B"/>
    <w:rsid w:val="67EE33DD"/>
    <w:rsid w:val="68E4149F"/>
    <w:rsid w:val="6D1B5309"/>
    <w:rsid w:val="6D772419"/>
    <w:rsid w:val="6FDA6912"/>
    <w:rsid w:val="70B73B88"/>
    <w:rsid w:val="71A209D2"/>
    <w:rsid w:val="72726862"/>
    <w:rsid w:val="72933214"/>
    <w:rsid w:val="77E138BA"/>
    <w:rsid w:val="78BA5FB5"/>
    <w:rsid w:val="790A1F5F"/>
    <w:rsid w:val="79A43C1B"/>
    <w:rsid w:val="7B9A4DB4"/>
    <w:rsid w:val="7D020E51"/>
    <w:rsid w:val="7E1008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14</Pages>
  <Words>1418</Words>
  <Characters>8085</Characters>
  <Lines>67</Lines>
  <Paragraphs>18</Paragraphs>
  <TotalTime>17</TotalTime>
  <ScaleCrop>false</ScaleCrop>
  <LinksUpToDate>false</LinksUpToDate>
  <CharactersWithSpaces>9485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2025-03-28T01:27:23Z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40882DF1D6ED40A18B2CD55D04F2A283_12</vt:lpwstr>
  </property>
</Properties>
</file>